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3C0CDC" w:rsidRPr="00E505BC">
        <w:rPr>
          <w:rFonts w:ascii="Verdana" w:hAnsi="Verdana"/>
          <w:i w:val="0"/>
          <w:sz w:val="20"/>
          <w:szCs w:val="20"/>
        </w:rPr>
        <w:t>99</w:t>
      </w:r>
      <w:r w:rsidR="00196DB4">
        <w:rPr>
          <w:rFonts w:ascii="Verdana" w:hAnsi="Verdana"/>
          <w:i w:val="0"/>
          <w:sz w:val="20"/>
          <w:szCs w:val="20"/>
        </w:rPr>
        <w:t>7</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Pr="00E505BC" w:rsidRDefault="00D22920"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29165C">
        <w:rPr>
          <w:rFonts w:ascii="Verdana" w:hAnsi="Verdana"/>
          <w:sz w:val="20"/>
          <w:szCs w:val="20"/>
        </w:rPr>
        <w:t>176</w:t>
      </w:r>
      <w:r w:rsidRPr="00E505BC">
        <w:rPr>
          <w:rFonts w:ascii="Verdana" w:hAnsi="Verdana"/>
          <w:bCs/>
          <w:iCs/>
          <w:sz w:val="20"/>
          <w:szCs w:val="20"/>
        </w:rPr>
        <w:t xml:space="preserve">ª Reunião </w:t>
      </w:r>
      <w:r w:rsidR="0029165C">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29165C">
        <w:rPr>
          <w:rFonts w:ascii="Verdana" w:hAnsi="Verdana"/>
          <w:sz w:val="20"/>
          <w:szCs w:val="20"/>
        </w:rPr>
        <w:t>27</w:t>
      </w:r>
      <w:r w:rsidR="002E73C6" w:rsidRPr="00E505BC">
        <w:rPr>
          <w:rFonts w:ascii="Verdana" w:hAnsi="Verdana"/>
          <w:sz w:val="20"/>
          <w:szCs w:val="20"/>
        </w:rPr>
        <w:t xml:space="preserve"> de </w:t>
      </w:r>
      <w:r w:rsidR="0029165C">
        <w:rPr>
          <w:rFonts w:ascii="Verdana" w:hAnsi="Verdana"/>
          <w:sz w:val="20"/>
          <w:szCs w:val="20"/>
        </w:rPr>
        <w:t>abril</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29165C" w:rsidRPr="00E505BC" w:rsidRDefault="0029165C" w:rsidP="005F1E37">
      <w:pPr>
        <w:jc w:val="both"/>
        <w:rPr>
          <w:rFonts w:ascii="Verdana" w:hAnsi="Verdana"/>
          <w:sz w:val="20"/>
          <w:szCs w:val="20"/>
        </w:rPr>
      </w:pPr>
      <w:r>
        <w:rPr>
          <w:rFonts w:ascii="Verdana" w:hAnsi="Verdana"/>
          <w:sz w:val="20"/>
          <w:szCs w:val="20"/>
        </w:rPr>
        <w:t xml:space="preserve">Considerando o “Pedido de Vistas” </w:t>
      </w:r>
      <w:r w:rsidR="004160D9">
        <w:rPr>
          <w:rFonts w:ascii="Verdana" w:hAnsi="Verdana"/>
          <w:sz w:val="20"/>
          <w:szCs w:val="20"/>
        </w:rPr>
        <w:t xml:space="preserve">formulado pelo Conselheiro João Carlos dos Santos no processo de análise da Prestação de Contas da Secretaria de Estado da Saúde, referente ao 1º e 2º quadrimestres do ano de 2016 e a Programação Anual de Saúde para o ano de 2017; </w:t>
      </w:r>
    </w:p>
    <w:p w:rsidR="007406A7" w:rsidRPr="00E505BC" w:rsidRDefault="007406A7" w:rsidP="005F1E37">
      <w:pPr>
        <w:jc w:val="both"/>
        <w:rPr>
          <w:rFonts w:ascii="Verdana" w:hAnsi="Verdana" w:cs="Arial"/>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9E4D26" w:rsidRPr="00E505BC" w:rsidRDefault="009E79C1" w:rsidP="005F1E37">
      <w:pPr>
        <w:pStyle w:val="PargrafodaLista"/>
        <w:ind w:left="0"/>
        <w:contextualSpacing/>
        <w:jc w:val="both"/>
        <w:rPr>
          <w:rFonts w:ascii="Verdana" w:hAnsi="Verdana"/>
          <w:b w:val="0"/>
          <w:sz w:val="20"/>
        </w:rPr>
      </w:pPr>
      <w:r w:rsidRPr="00E505BC">
        <w:rPr>
          <w:rFonts w:ascii="Verdana" w:hAnsi="Verdana"/>
          <w:b w:val="0"/>
          <w:sz w:val="20"/>
        </w:rPr>
        <w:t>Art. 1º</w:t>
      </w:r>
      <w:r w:rsidR="00AD6157" w:rsidRPr="00E505BC">
        <w:rPr>
          <w:rFonts w:ascii="Verdana" w:hAnsi="Verdana"/>
          <w:b w:val="0"/>
          <w:sz w:val="20"/>
        </w:rPr>
        <w:t xml:space="preserve"> - </w:t>
      </w:r>
      <w:r w:rsidR="009F4F47" w:rsidRPr="00E505BC">
        <w:rPr>
          <w:rFonts w:ascii="Verdana" w:hAnsi="Verdana"/>
          <w:b w:val="0"/>
          <w:sz w:val="20"/>
        </w:rPr>
        <w:t xml:space="preserve">Aprovar </w:t>
      </w:r>
      <w:r w:rsidR="004346FB">
        <w:rPr>
          <w:rFonts w:ascii="Verdana" w:hAnsi="Verdana"/>
          <w:b w:val="0"/>
          <w:sz w:val="20"/>
        </w:rPr>
        <w:t>o</w:t>
      </w:r>
      <w:r w:rsidR="0029165C">
        <w:rPr>
          <w:rFonts w:ascii="Verdana" w:hAnsi="Verdana"/>
          <w:b w:val="0"/>
          <w:sz w:val="20"/>
        </w:rPr>
        <w:t xml:space="preserve"> Relatório apresentado pelo Conselheiro João Carlos dos Santo</w:t>
      </w:r>
      <w:r w:rsidR="004160D9">
        <w:rPr>
          <w:rFonts w:ascii="Verdana" w:hAnsi="Verdana"/>
          <w:b w:val="0"/>
          <w:sz w:val="20"/>
        </w:rPr>
        <w:t xml:space="preserve">s </w:t>
      </w:r>
      <w:r w:rsidR="00424B41">
        <w:rPr>
          <w:rFonts w:ascii="Verdana" w:hAnsi="Verdana"/>
          <w:b w:val="0"/>
          <w:sz w:val="20"/>
        </w:rPr>
        <w:t xml:space="preserve">no qual condiciona </w:t>
      </w:r>
      <w:r w:rsidR="00196DB4">
        <w:rPr>
          <w:rFonts w:ascii="Verdana" w:hAnsi="Verdana"/>
          <w:b w:val="0"/>
          <w:sz w:val="20"/>
        </w:rPr>
        <w:t>à deliberação das Prestações de Contas do 1º e 2º de 2016 e a Programação Anual de Saúde 2017 a análise prévia por parte da Comissão de Orçamento, Financiamento e Instrumentos de Gestão do CES.</w:t>
      </w:r>
      <w:r w:rsidR="00F26B94" w:rsidRPr="00E505BC">
        <w:rPr>
          <w:rFonts w:ascii="Verdana" w:hAnsi="Verdana"/>
          <w:b w:val="0"/>
          <w:sz w:val="20"/>
        </w:rPr>
        <w:t xml:space="preserve"> </w:t>
      </w:r>
    </w:p>
    <w:p w:rsidR="00F26B94" w:rsidRPr="00E505BC" w:rsidRDefault="00F26B94" w:rsidP="005F1E37">
      <w:pPr>
        <w:pStyle w:val="PargrafodaLista"/>
        <w:ind w:left="0"/>
        <w:contextualSpacing/>
        <w:jc w:val="both"/>
        <w:rPr>
          <w:rFonts w:ascii="Verdana" w:hAnsi="Verdana" w:cs="Arial"/>
          <w:b w:val="0"/>
          <w:bCs/>
          <w:sz w:val="20"/>
        </w:rPr>
      </w:pPr>
    </w:p>
    <w:p w:rsidR="00196CDD" w:rsidRPr="00E505BC" w:rsidRDefault="009B7F5F" w:rsidP="005F1E37">
      <w:pPr>
        <w:tabs>
          <w:tab w:val="left" w:pos="3630"/>
        </w:tabs>
        <w:jc w:val="both"/>
        <w:rPr>
          <w:rFonts w:ascii="Verdana" w:hAnsi="Verdana"/>
          <w:bCs/>
          <w:iCs/>
          <w:sz w:val="20"/>
          <w:szCs w:val="20"/>
        </w:rPr>
      </w:pPr>
      <w:r w:rsidRPr="00E505BC">
        <w:rPr>
          <w:rFonts w:ascii="Verdana" w:hAnsi="Verdana" w:cs="Arial"/>
          <w:bCs/>
          <w:iCs/>
          <w:sz w:val="20"/>
          <w:szCs w:val="20"/>
        </w:rPr>
        <w:t xml:space="preserve">Art. </w:t>
      </w:r>
      <w:r w:rsidR="00D22920" w:rsidRPr="00E505BC">
        <w:rPr>
          <w:rFonts w:ascii="Verdana" w:hAnsi="Verdana" w:cs="Arial"/>
          <w:bCs/>
          <w:iCs/>
          <w:sz w:val="20"/>
          <w:szCs w:val="20"/>
        </w:rPr>
        <w:t>2</w:t>
      </w:r>
      <w:r w:rsidRPr="00E505BC">
        <w:rPr>
          <w:rFonts w:ascii="Verdana" w:hAnsi="Verdana" w:cs="Arial"/>
          <w:bCs/>
          <w:iCs/>
          <w:sz w:val="20"/>
          <w:szCs w:val="20"/>
        </w:rPr>
        <w:t>º -</w:t>
      </w:r>
      <w:r w:rsidR="00AD6157" w:rsidRPr="00E505BC">
        <w:rPr>
          <w:rFonts w:ascii="Verdana" w:hAnsi="Verdana" w:cs="Arial"/>
          <w:bCs/>
          <w:iCs/>
          <w:sz w:val="20"/>
          <w:szCs w:val="20"/>
        </w:rPr>
        <w:t xml:space="preserve"> </w:t>
      </w:r>
      <w:r w:rsidR="00196CDD" w:rsidRPr="00E505BC">
        <w:rPr>
          <w:rFonts w:ascii="Verdana" w:hAnsi="Verdana" w:cs="Arial"/>
          <w:sz w:val="20"/>
          <w:szCs w:val="20"/>
        </w:rPr>
        <w:t xml:space="preserve">Esta Resolução entra em vigor na data de sua publicação, </w:t>
      </w:r>
      <w:r w:rsidR="00196CDD" w:rsidRPr="00E505BC">
        <w:rPr>
          <w:rFonts w:ascii="Verdana" w:hAnsi="Verdana"/>
          <w:bCs/>
          <w:iCs/>
          <w:sz w:val="20"/>
          <w:szCs w:val="20"/>
        </w:rPr>
        <w:t>revogadas as disposições em contrário;</w:t>
      </w:r>
    </w:p>
    <w:p w:rsidR="002A0859" w:rsidRPr="00E505BC" w:rsidRDefault="002A0859" w:rsidP="005F1E37">
      <w:pPr>
        <w:tabs>
          <w:tab w:val="left" w:pos="3630"/>
        </w:tabs>
        <w:jc w:val="both"/>
        <w:rPr>
          <w:rFonts w:ascii="Verdana" w:hAnsi="Verdana"/>
          <w:bCs/>
          <w:iCs/>
          <w:sz w:val="20"/>
          <w:szCs w:val="20"/>
        </w:rPr>
      </w:pPr>
    </w:p>
    <w:p w:rsidR="00196CDD" w:rsidRPr="00E505BC" w:rsidRDefault="00AD6157" w:rsidP="005F1E37">
      <w:pPr>
        <w:jc w:val="both"/>
        <w:rPr>
          <w:rFonts w:ascii="Verdana" w:hAnsi="Verdana" w:cs="Arial"/>
          <w:sz w:val="20"/>
          <w:szCs w:val="20"/>
        </w:rPr>
      </w:pPr>
      <w:r w:rsidRPr="00E505BC">
        <w:rPr>
          <w:rFonts w:ascii="Verdana" w:hAnsi="Verdana" w:cs="Arial"/>
          <w:sz w:val="20"/>
          <w:szCs w:val="20"/>
        </w:rPr>
        <w:t xml:space="preserve">Art. </w:t>
      </w:r>
      <w:r w:rsidR="00D22920" w:rsidRPr="00E505BC">
        <w:rPr>
          <w:rFonts w:ascii="Verdana" w:hAnsi="Verdana" w:cs="Arial"/>
          <w:sz w:val="20"/>
          <w:szCs w:val="20"/>
        </w:rPr>
        <w:t>3</w:t>
      </w:r>
      <w:r w:rsidRPr="00E505BC">
        <w:rPr>
          <w:rFonts w:ascii="Verdana" w:hAnsi="Verdana" w:cs="Arial"/>
          <w:sz w:val="20"/>
          <w:szCs w:val="20"/>
        </w:rPr>
        <w:t xml:space="preserve">º - </w:t>
      </w:r>
      <w:r w:rsidR="00196CDD" w:rsidRPr="00E505BC">
        <w:rPr>
          <w:rFonts w:ascii="Verdana" w:hAnsi="Verdana" w:cs="Arial"/>
          <w:sz w:val="20"/>
          <w:szCs w:val="20"/>
        </w:rPr>
        <w:t xml:space="preserve">O conteúdo desta Resolução, na íntegra, está disponibilizado no endereço eletrônico: </w:t>
      </w:r>
      <w:hyperlink r:id="rId8" w:history="1">
        <w:r w:rsidR="00F26B94" w:rsidRPr="00E505BC">
          <w:rPr>
            <w:rStyle w:val="Hyperlink"/>
            <w:rFonts w:ascii="Verdana" w:hAnsi="Verdana" w:cs="Arial"/>
            <w:sz w:val="20"/>
            <w:szCs w:val="20"/>
          </w:rPr>
          <w:t>www.saude.es.gov.br</w:t>
        </w:r>
      </w:hyperlink>
    </w:p>
    <w:p w:rsidR="00F26B94" w:rsidRPr="00E505BC" w:rsidRDefault="00F26B94" w:rsidP="005F1E37">
      <w:pPr>
        <w:jc w:val="both"/>
        <w:rPr>
          <w:rFonts w:ascii="Verdana" w:hAnsi="Verdana" w:cs="Arial"/>
          <w:sz w:val="20"/>
          <w:szCs w:val="20"/>
        </w:rPr>
      </w:pP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3E5EDF">
        <w:rPr>
          <w:rFonts w:ascii="Verdana" w:hAnsi="Verdana" w:cs="Arial"/>
          <w:sz w:val="20"/>
          <w:szCs w:val="20"/>
        </w:rPr>
        <w:t>27</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3E5EDF">
        <w:rPr>
          <w:rFonts w:ascii="Verdana" w:hAnsi="Verdana" w:cs="Arial"/>
          <w:sz w:val="20"/>
          <w:szCs w:val="20"/>
        </w:rPr>
        <w:t>abril</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22920" w:rsidP="005F1E37">
      <w:pPr>
        <w:jc w:val="both"/>
        <w:rPr>
          <w:rFonts w:ascii="Verdana" w:hAnsi="Verdana" w:cs="Arial"/>
          <w:b/>
          <w:iCs/>
          <w:sz w:val="20"/>
          <w:szCs w:val="20"/>
        </w:rPr>
      </w:pPr>
      <w:r w:rsidRPr="00E505BC">
        <w:rPr>
          <w:rFonts w:ascii="Verdana" w:hAnsi="Verdana" w:cs="Arial"/>
          <w:b/>
          <w:iCs/>
          <w:sz w:val="20"/>
          <w:szCs w:val="20"/>
        </w:rPr>
        <w:t>Francisco José Dias da Silva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22920" w:rsidRPr="00E505BC">
        <w:rPr>
          <w:rFonts w:ascii="Verdana" w:hAnsi="Verdana" w:cs="Arial"/>
          <w:bCs/>
          <w:iCs/>
          <w:sz w:val="20"/>
          <w:szCs w:val="20"/>
        </w:rPr>
        <w:t xml:space="preserve">em Exercício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F26B94" w:rsidRPr="00E505BC">
        <w:rPr>
          <w:rFonts w:cs="Tahoma"/>
          <w:sz w:val="20"/>
        </w:rPr>
        <w:t>99</w:t>
      </w:r>
      <w:r w:rsidR="00591B4D">
        <w:rPr>
          <w:rFonts w:cs="Tahoma"/>
          <w:sz w:val="20"/>
        </w:rPr>
        <w:t>7</w:t>
      </w:r>
      <w:r w:rsidR="00A86EC6" w:rsidRPr="00E505BC">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p w:rsidR="00826A1A" w:rsidRDefault="00826A1A" w:rsidP="005F1E37">
      <w:pPr>
        <w:pStyle w:val="Corpodetexto2"/>
        <w:rPr>
          <w:sz w:val="20"/>
        </w:rPr>
      </w:pPr>
    </w:p>
    <w:p w:rsidR="00826A1A" w:rsidRPr="00E505BC" w:rsidRDefault="00826A1A" w:rsidP="005F1E37">
      <w:pPr>
        <w:pStyle w:val="Corpodetexto2"/>
        <w:rPr>
          <w:sz w:val="20"/>
        </w:rPr>
      </w:pPr>
    </w:p>
    <w:p w:rsidR="00F26B94" w:rsidRPr="00E505BC" w:rsidRDefault="00F26B94" w:rsidP="00826A1A">
      <w:pPr>
        <w:tabs>
          <w:tab w:val="center" w:pos="4818"/>
        </w:tabs>
        <w:jc w:val="center"/>
        <w:rPr>
          <w:sz w:val="20"/>
        </w:rPr>
      </w:pPr>
    </w:p>
    <w:sectPr w:rsidR="00F26B94" w:rsidRPr="00E505BC"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B41" w:rsidRDefault="00424B41">
      <w:r>
        <w:separator/>
      </w:r>
    </w:p>
  </w:endnote>
  <w:endnote w:type="continuationSeparator" w:id="1">
    <w:p w:rsidR="00424B41" w:rsidRDefault="00424B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B41" w:rsidRDefault="00424B41">
      <w:r>
        <w:separator/>
      </w:r>
    </w:p>
  </w:footnote>
  <w:footnote w:type="continuationSeparator" w:id="1">
    <w:p w:rsidR="00424B41" w:rsidRDefault="00424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41" w:rsidRDefault="00424B41">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24B41" w:rsidRDefault="00424B41">
    <w:pPr>
      <w:pStyle w:val="Cabealho"/>
      <w:rPr>
        <w:noProof/>
        <w:sz w:val="20"/>
      </w:rPr>
    </w:pPr>
    <w:r>
      <w:rPr>
        <w:noProof/>
        <w:sz w:val="20"/>
      </w:rPr>
      <w:t xml:space="preserve">                    </w:t>
    </w:r>
  </w:p>
  <w:p w:rsidR="00424B41" w:rsidRDefault="00424B41">
    <w:pPr>
      <w:pStyle w:val="Cabealho"/>
      <w:rPr>
        <w:noProof/>
        <w:sz w:val="20"/>
      </w:rPr>
    </w:pPr>
  </w:p>
  <w:p w:rsidR="00424B41" w:rsidRDefault="00424B41">
    <w:pPr>
      <w:pStyle w:val="Cabealho"/>
      <w:rPr>
        <w:noProof/>
        <w:sz w:val="18"/>
      </w:rPr>
    </w:pPr>
    <w:r>
      <w:rPr>
        <w:noProof/>
        <w:sz w:val="18"/>
      </w:rPr>
      <w:t xml:space="preserve">                                   </w:t>
    </w:r>
  </w:p>
  <w:p w:rsidR="00424B41" w:rsidRDefault="00424B41" w:rsidP="005624BB">
    <w:pPr>
      <w:pStyle w:val="Cabealho"/>
      <w:tabs>
        <w:tab w:val="clear" w:pos="4419"/>
        <w:tab w:val="clear" w:pos="8838"/>
        <w:tab w:val="left" w:pos="3238"/>
      </w:tabs>
      <w:rPr>
        <w:noProof/>
        <w:sz w:val="18"/>
      </w:rPr>
    </w:pPr>
    <w:r>
      <w:rPr>
        <w:noProof/>
        <w:sz w:val="18"/>
      </w:rPr>
      <w:tab/>
    </w:r>
  </w:p>
  <w:p w:rsidR="00424B41" w:rsidRDefault="00424B41" w:rsidP="005624BB">
    <w:pPr>
      <w:pStyle w:val="Cabealho"/>
      <w:tabs>
        <w:tab w:val="clear" w:pos="4419"/>
        <w:tab w:val="clear" w:pos="8838"/>
        <w:tab w:val="left" w:pos="3238"/>
      </w:tabs>
      <w:rPr>
        <w:noProof/>
        <w:sz w:val="18"/>
      </w:rPr>
    </w:pPr>
  </w:p>
  <w:p w:rsidR="00424B41" w:rsidRDefault="00424B41">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6561"/>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B60"/>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E5EDF"/>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680F"/>
    <w:rsid w:val="005006BE"/>
    <w:rsid w:val="00502327"/>
    <w:rsid w:val="00502522"/>
    <w:rsid w:val="0050494D"/>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4CAC"/>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4</cp:revision>
  <cp:lastPrinted>2016-07-22T18:22:00Z</cp:lastPrinted>
  <dcterms:created xsi:type="dcterms:W3CDTF">2017-05-08T20:52:00Z</dcterms:created>
  <dcterms:modified xsi:type="dcterms:W3CDTF">2017-05-08T21:02:00Z</dcterms:modified>
</cp:coreProperties>
</file>