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BA" w:rsidRDefault="009726BA" w:rsidP="009726BA">
      <w:pPr>
        <w:spacing w:line="240" w:lineRule="auto"/>
        <w:jc w:val="center"/>
        <w:outlineLvl w:val="1"/>
        <w:rPr>
          <w:rFonts w:ascii="inherit" w:eastAsia="Times New Roman" w:hAnsi="inherit" w:cs="Tahoma"/>
          <w:b/>
          <w:bCs/>
          <w:color w:val="333333"/>
          <w:sz w:val="32"/>
          <w:szCs w:val="32"/>
          <w:lang w:eastAsia="pt-BR"/>
        </w:rPr>
      </w:pPr>
      <w:r w:rsidRPr="009726BA">
        <w:rPr>
          <w:rFonts w:ascii="inherit" w:eastAsia="Times New Roman" w:hAnsi="inherit" w:cs="Tahoma"/>
          <w:b/>
          <w:bCs/>
          <w:noProof/>
          <w:color w:val="333333"/>
          <w:sz w:val="32"/>
          <w:szCs w:val="32"/>
          <w:lang w:eastAsia="pt-BR"/>
        </w:rPr>
        <w:drawing>
          <wp:inline distT="0" distB="0" distL="0" distR="0">
            <wp:extent cx="2847975" cy="1104900"/>
            <wp:effectExtent l="1905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BA" w:rsidRDefault="009726BA" w:rsidP="00BA7123">
      <w:pPr>
        <w:spacing w:line="240" w:lineRule="auto"/>
        <w:jc w:val="both"/>
        <w:outlineLvl w:val="1"/>
        <w:rPr>
          <w:rFonts w:ascii="inherit" w:eastAsia="Times New Roman" w:hAnsi="inherit" w:cs="Tahoma"/>
          <w:b/>
          <w:bCs/>
          <w:color w:val="333333"/>
          <w:sz w:val="32"/>
          <w:szCs w:val="32"/>
          <w:lang w:eastAsia="pt-BR"/>
        </w:rPr>
      </w:pPr>
    </w:p>
    <w:p w:rsidR="009726BA" w:rsidRPr="002F7956" w:rsidRDefault="009726BA" w:rsidP="009726BA">
      <w:pPr>
        <w:spacing w:line="300" w:lineRule="atLeast"/>
        <w:ind w:left="454"/>
        <w:jc w:val="center"/>
        <w:rPr>
          <w:rFonts w:ascii="Arial" w:hAnsi="Arial" w:cs="Arial"/>
          <w:b/>
          <w:sz w:val="24"/>
          <w:szCs w:val="24"/>
        </w:rPr>
      </w:pPr>
      <w:r w:rsidRPr="002F7956">
        <w:rPr>
          <w:rFonts w:ascii="Arial" w:hAnsi="Arial" w:cs="Arial"/>
          <w:b/>
          <w:sz w:val="24"/>
          <w:szCs w:val="24"/>
        </w:rPr>
        <w:t xml:space="preserve">Nota Técnica - </w:t>
      </w:r>
      <w:r>
        <w:rPr>
          <w:rFonts w:ascii="Arial" w:hAnsi="Arial" w:cs="Arial"/>
          <w:b/>
          <w:sz w:val="24"/>
          <w:szCs w:val="24"/>
        </w:rPr>
        <w:t>SESA/NEVE 01/</w:t>
      </w:r>
      <w:r w:rsidRPr="002F7956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5</w:t>
      </w:r>
    </w:p>
    <w:p w:rsidR="009726BA" w:rsidRPr="009726BA" w:rsidRDefault="00C654E4" w:rsidP="009726BA">
      <w:pPr>
        <w:spacing w:line="300" w:lineRule="atLeast"/>
        <w:ind w:left="454"/>
        <w:jc w:val="center"/>
        <w:rPr>
          <w:rFonts w:ascii="Arial" w:hAnsi="Arial" w:cs="Arial"/>
          <w:b/>
          <w:sz w:val="24"/>
          <w:szCs w:val="24"/>
        </w:rPr>
      </w:pPr>
      <w:r w:rsidRPr="00C654E4"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-15.65pt;margin-top:19.5pt;width:442.5pt;height:60pt;z-index:-251659264"/>
        </w:pict>
      </w:r>
      <w:r w:rsidR="001D23F4">
        <w:rPr>
          <w:rFonts w:ascii="Arial" w:hAnsi="Arial" w:cs="Arial"/>
          <w:b/>
          <w:sz w:val="24"/>
          <w:szCs w:val="24"/>
        </w:rPr>
        <w:t>TRACOMA</w:t>
      </w:r>
    </w:p>
    <w:p w:rsidR="009726BA" w:rsidRPr="002F7956" w:rsidRDefault="000064C1" w:rsidP="009726BA">
      <w:pPr>
        <w:spacing w:line="300" w:lineRule="atLeast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Agente etiológico, vetores e reservatórios, modo de transmissão,</w:t>
      </w:r>
      <w:r w:rsidR="00B84E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manifestação clínica,</w:t>
      </w:r>
      <w:r w:rsidR="00B84E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diagnóstico e tratamento</w:t>
      </w:r>
      <w:r w:rsidR="009726BA" w:rsidRPr="002F7956">
        <w:rPr>
          <w:rFonts w:ascii="Arial" w:hAnsi="Arial" w:cs="Arial"/>
          <w:sz w:val="24"/>
          <w:szCs w:val="24"/>
        </w:rPr>
        <w:t>.</w:t>
      </w:r>
    </w:p>
    <w:p w:rsidR="009726BA" w:rsidRPr="009726BA" w:rsidRDefault="00C654E4" w:rsidP="009726BA">
      <w:pPr>
        <w:spacing w:after="0" w:line="300" w:lineRule="atLeast"/>
        <w:rPr>
          <w:rFonts w:ascii="Arial" w:hAnsi="Arial" w:cs="Arial"/>
          <w:sz w:val="24"/>
          <w:szCs w:val="24"/>
        </w:rPr>
      </w:pPr>
      <w:r w:rsidRPr="00C654E4">
        <w:rPr>
          <w:rFonts w:ascii="Arial" w:hAnsi="Arial" w:cs="Arial"/>
          <w:b/>
          <w:noProof/>
          <w:sz w:val="24"/>
          <w:szCs w:val="24"/>
        </w:rPr>
        <w:pict>
          <v:line id="_x0000_s1027" style="position:absolute;flip:y;z-index:251658240" from="1.5pt,15.95pt" to="1.5pt,15.95pt"/>
        </w:pict>
      </w:r>
    </w:p>
    <w:p w:rsidR="00524D55" w:rsidRDefault="00524D55" w:rsidP="00BA7123">
      <w:pPr>
        <w:spacing w:line="240" w:lineRule="auto"/>
        <w:jc w:val="both"/>
        <w:outlineLvl w:val="1"/>
        <w:rPr>
          <w:rFonts w:ascii="inherit" w:eastAsia="Times New Roman" w:hAnsi="inherit" w:cs="Tahoma"/>
          <w:b/>
          <w:bCs/>
          <w:color w:val="333333"/>
          <w:sz w:val="32"/>
          <w:szCs w:val="32"/>
          <w:lang w:eastAsia="pt-BR"/>
        </w:rPr>
      </w:pPr>
    </w:p>
    <w:p w:rsidR="00067AB4" w:rsidRPr="00BA7123" w:rsidRDefault="00067AB4" w:rsidP="00BA7123">
      <w:pPr>
        <w:spacing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896F00" w:rsidRPr="00BA7123" w:rsidRDefault="00896F00" w:rsidP="00BA7123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BA7123">
        <w:rPr>
          <w:rStyle w:val="Forte"/>
          <w:rFonts w:ascii="Arial" w:hAnsi="Arial" w:cs="Arial"/>
          <w:color w:val="333333"/>
          <w:sz w:val="20"/>
          <w:szCs w:val="20"/>
        </w:rPr>
        <w:t>Agente etiológico</w:t>
      </w:r>
    </w:p>
    <w:p w:rsidR="00896F00" w:rsidRDefault="001F4966" w:rsidP="00BA7123">
      <w:pPr>
        <w:pStyle w:val="NormalWeb"/>
        <w:spacing w:before="0" w:beforeAutospacing="0" w:after="150" w:afterAutospacing="0"/>
        <w:jc w:val="both"/>
        <w:rPr>
          <w:rStyle w:val="Forte"/>
          <w:rFonts w:ascii="Arial" w:hAnsi="Arial" w:cs="Arial"/>
          <w:color w:val="333333"/>
          <w:sz w:val="20"/>
          <w:szCs w:val="20"/>
        </w:rPr>
      </w:pPr>
      <w:r w:rsidRPr="005B5A8D">
        <w:rPr>
          <w:rStyle w:val="Forte"/>
          <w:rFonts w:ascii="Arial" w:hAnsi="Arial"/>
          <w:b w:val="0"/>
          <w:color w:val="333333"/>
          <w:sz w:val="20"/>
          <w:szCs w:val="20"/>
        </w:rPr>
        <w:t>é uma bactéria Gram negativa</w:t>
      </w:r>
      <w:r w:rsidRPr="005B5A8D">
        <w:rPr>
          <w:rStyle w:val="Forte"/>
          <w:rFonts w:ascii="Arial" w:hAnsi="Arial"/>
          <w:color w:val="333333"/>
          <w:sz w:val="20"/>
          <w:szCs w:val="20"/>
        </w:rPr>
        <w:t>, a Chlamydia trachomatis</w:t>
      </w:r>
      <w:r w:rsidR="00896F00" w:rsidRPr="00BA7123">
        <w:rPr>
          <w:rStyle w:val="Forte"/>
          <w:rFonts w:ascii="Arial" w:hAnsi="Arial" w:cs="Arial"/>
          <w:color w:val="333333"/>
          <w:sz w:val="20"/>
          <w:szCs w:val="20"/>
        </w:rPr>
        <w:t> </w:t>
      </w:r>
    </w:p>
    <w:p w:rsidR="00BC6509" w:rsidRPr="00BC6509" w:rsidRDefault="00BC6509" w:rsidP="00BC6509">
      <w:pPr>
        <w:pStyle w:val="NormalWeb"/>
        <w:spacing w:after="150"/>
        <w:jc w:val="both"/>
        <w:rPr>
          <w:rStyle w:val="Forte"/>
          <w:rFonts w:ascii="Arial" w:hAnsi="Arial" w:cs="Arial"/>
          <w:color w:val="333333"/>
          <w:szCs w:val="20"/>
        </w:rPr>
      </w:pPr>
      <w:r w:rsidRPr="00BC6509">
        <w:rPr>
          <w:rStyle w:val="Forte"/>
          <w:rFonts w:ascii="Arial" w:hAnsi="Arial" w:cs="Arial"/>
          <w:color w:val="333333"/>
          <w:szCs w:val="20"/>
        </w:rPr>
        <w:t>Fonte de infecção e reservatório</w:t>
      </w:r>
    </w:p>
    <w:p w:rsidR="00BC6509" w:rsidRDefault="00BC6509" w:rsidP="00BC6509">
      <w:pPr>
        <w:pStyle w:val="NormalWeb"/>
        <w:spacing w:after="150"/>
        <w:jc w:val="both"/>
        <w:rPr>
          <w:rStyle w:val="Forte"/>
          <w:rFonts w:ascii="Arial" w:hAnsi="Arial" w:cs="Arial"/>
          <w:b w:val="0"/>
          <w:color w:val="333333"/>
          <w:sz w:val="20"/>
          <w:szCs w:val="20"/>
        </w:rPr>
      </w:pPr>
      <w:r w:rsidRPr="00BC6509">
        <w:rPr>
          <w:rStyle w:val="Forte"/>
          <w:rFonts w:ascii="Arial" w:hAnsi="Arial" w:cs="Arial"/>
          <w:b w:val="0"/>
          <w:color w:val="333333"/>
          <w:sz w:val="20"/>
          <w:szCs w:val="20"/>
        </w:rPr>
        <w:t xml:space="preserve">A única fonte de infecção é </w:t>
      </w:r>
      <w:r w:rsidRPr="00BC6509">
        <w:rPr>
          <w:rStyle w:val="Forte"/>
          <w:rFonts w:ascii="Arial" w:hAnsi="Arial" w:cs="Arial"/>
          <w:color w:val="333333"/>
          <w:sz w:val="20"/>
          <w:szCs w:val="20"/>
        </w:rPr>
        <w:t>o homem</w:t>
      </w:r>
      <w:r w:rsidRPr="00BC6509">
        <w:rPr>
          <w:rStyle w:val="Forte"/>
          <w:rFonts w:ascii="Arial" w:hAnsi="Arial" w:cs="Arial"/>
          <w:b w:val="0"/>
          <w:color w:val="333333"/>
          <w:sz w:val="20"/>
          <w:szCs w:val="20"/>
        </w:rPr>
        <w:t xml:space="preserve"> com infecção ativa na conjuntiva ou outras mucosas. </w:t>
      </w:r>
    </w:p>
    <w:p w:rsidR="00BC6509" w:rsidRPr="00BC6509" w:rsidRDefault="00BC6509" w:rsidP="00BC6509">
      <w:pPr>
        <w:pStyle w:val="NormalWeb"/>
        <w:spacing w:after="150"/>
        <w:jc w:val="both"/>
        <w:rPr>
          <w:rStyle w:val="Forte"/>
          <w:rFonts w:ascii="Arial" w:hAnsi="Arial" w:cs="Arial"/>
          <w:b w:val="0"/>
          <w:color w:val="333333"/>
          <w:sz w:val="20"/>
          <w:szCs w:val="20"/>
        </w:rPr>
      </w:pPr>
      <w:r w:rsidRPr="00BC6509">
        <w:rPr>
          <w:rStyle w:val="Forte"/>
          <w:rFonts w:ascii="Arial" w:hAnsi="Arial" w:cs="Arial"/>
          <w:color w:val="333333"/>
          <w:sz w:val="20"/>
          <w:szCs w:val="20"/>
        </w:rPr>
        <w:t>Crianças até 10 anos</w:t>
      </w:r>
      <w:r w:rsidRPr="00BC6509">
        <w:rPr>
          <w:rStyle w:val="Forte"/>
          <w:rFonts w:ascii="Arial" w:hAnsi="Arial" w:cs="Arial"/>
          <w:b w:val="0"/>
          <w:color w:val="333333"/>
          <w:sz w:val="20"/>
          <w:szCs w:val="20"/>
        </w:rPr>
        <w:t>, com infecção ativa, são o principal reservatório do agente etiológico nas populações nas</w:t>
      </w:r>
      <w:r>
        <w:rPr>
          <w:rStyle w:val="Forte"/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Pr="00BC6509">
        <w:rPr>
          <w:rStyle w:val="Forte"/>
          <w:rFonts w:ascii="Arial" w:hAnsi="Arial" w:cs="Arial"/>
          <w:b w:val="0"/>
          <w:color w:val="333333"/>
          <w:sz w:val="20"/>
          <w:szCs w:val="20"/>
        </w:rPr>
        <w:t>quais o tracoma é endêmico, podendo portar a Clamídia não apenas na conjuntiva, mas também nos</w:t>
      </w:r>
      <w:r>
        <w:rPr>
          <w:rStyle w:val="Forte"/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Pr="00BC6509">
        <w:rPr>
          <w:rStyle w:val="Forte"/>
          <w:rFonts w:ascii="Arial" w:hAnsi="Arial" w:cs="Arial"/>
          <w:b w:val="0"/>
          <w:color w:val="333333"/>
          <w:sz w:val="20"/>
          <w:szCs w:val="20"/>
        </w:rPr>
        <w:t>tratos respiratório e gastrointestinal. Não há reservatório animal do tracoma. A Clamídia sobrevive</w:t>
      </w:r>
      <w:r>
        <w:rPr>
          <w:rStyle w:val="Forte"/>
          <w:rFonts w:ascii="Arial" w:hAnsi="Arial" w:cs="Arial"/>
          <w:b w:val="0"/>
          <w:color w:val="333333"/>
          <w:sz w:val="20"/>
          <w:szCs w:val="20"/>
        </w:rPr>
        <w:t xml:space="preserve"> </w:t>
      </w:r>
      <w:r w:rsidRPr="00BC6509">
        <w:rPr>
          <w:rStyle w:val="Forte"/>
          <w:rFonts w:ascii="Arial" w:hAnsi="Arial" w:cs="Arial"/>
          <w:b w:val="0"/>
          <w:color w:val="333333"/>
          <w:sz w:val="20"/>
          <w:szCs w:val="20"/>
        </w:rPr>
        <w:t>pouco tempo no meio ambiente externo, fora do hospedeiro humano</w:t>
      </w:r>
    </w:p>
    <w:p w:rsidR="001F4966" w:rsidRPr="00BC6509" w:rsidRDefault="001F4966" w:rsidP="00BC6509">
      <w:pPr>
        <w:pStyle w:val="NormalWeb"/>
        <w:spacing w:after="150"/>
        <w:jc w:val="both"/>
        <w:rPr>
          <w:rStyle w:val="Forte"/>
          <w:rFonts w:ascii="Arial" w:hAnsi="Arial" w:cs="Arial"/>
          <w:color w:val="333333"/>
          <w:szCs w:val="20"/>
        </w:rPr>
      </w:pPr>
    </w:p>
    <w:p w:rsidR="00BA7123" w:rsidRPr="00BC6509" w:rsidRDefault="00BC6509" w:rsidP="00BC6509">
      <w:pPr>
        <w:pStyle w:val="NormalWeb"/>
        <w:spacing w:after="150"/>
        <w:jc w:val="both"/>
        <w:rPr>
          <w:rStyle w:val="Forte"/>
          <w:rFonts w:ascii="Arial" w:hAnsi="Arial" w:cs="Arial"/>
          <w:color w:val="333333"/>
          <w:szCs w:val="20"/>
        </w:rPr>
      </w:pPr>
      <w:r w:rsidRPr="00BC6509">
        <w:rPr>
          <w:rStyle w:val="Forte"/>
          <w:rFonts w:ascii="Arial" w:hAnsi="Arial" w:cs="Arial"/>
          <w:color w:val="333333"/>
          <w:szCs w:val="20"/>
        </w:rPr>
        <w:t>Modo de transmissão</w:t>
      </w:r>
    </w:p>
    <w:p w:rsidR="00BC6509" w:rsidRDefault="00BC6509" w:rsidP="00BC6509">
      <w:pPr>
        <w:pStyle w:val="NormalWeb"/>
        <w:spacing w:after="150"/>
        <w:jc w:val="both"/>
        <w:rPr>
          <w:rFonts w:ascii="Arial" w:hAnsi="Arial" w:cs="Arial"/>
          <w:color w:val="333333"/>
          <w:sz w:val="20"/>
          <w:szCs w:val="20"/>
        </w:rPr>
      </w:pPr>
      <w:r w:rsidRPr="00BC6509">
        <w:rPr>
          <w:rFonts w:ascii="Arial" w:hAnsi="Arial" w:cs="Arial"/>
          <w:color w:val="333333"/>
          <w:sz w:val="20"/>
          <w:szCs w:val="20"/>
        </w:rPr>
        <w:t>A principal forma de transmissão é a direta, de olho a olho, por intermédio das mãos contaminadas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C6509">
        <w:rPr>
          <w:rFonts w:ascii="Arial" w:hAnsi="Arial" w:cs="Arial"/>
          <w:color w:val="333333"/>
          <w:sz w:val="20"/>
          <w:szCs w:val="20"/>
        </w:rPr>
        <w:t>com secreção conjuntival de um indivíduo portador de tracoma. Pode ocorrer também a transmissão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C6509">
        <w:rPr>
          <w:rFonts w:ascii="Arial" w:hAnsi="Arial" w:cs="Arial"/>
          <w:color w:val="333333"/>
          <w:sz w:val="20"/>
          <w:szCs w:val="20"/>
        </w:rPr>
        <w:t>indireta, por meio de objetos contaminados (toalhas, lenços, fronhas etc.). Alguns insetos, como a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C6509">
        <w:rPr>
          <w:rFonts w:ascii="Arial" w:hAnsi="Arial" w:cs="Arial"/>
          <w:color w:val="333333"/>
          <w:sz w:val="20"/>
          <w:szCs w:val="20"/>
        </w:rPr>
        <w:t>mosca doméstica (Musca domestica) e/ou a “lambe-olhos” (Hippelates spp.), podem atuar como vetores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C6509">
        <w:rPr>
          <w:rFonts w:ascii="Arial" w:hAnsi="Arial" w:cs="Arial"/>
          <w:color w:val="333333"/>
          <w:sz w:val="20"/>
          <w:szCs w:val="20"/>
        </w:rPr>
        <w:t>mecânicos. A transmissão só é possível quando existirem as lesões ativas, sendo mais intensa no início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BC6509">
        <w:rPr>
          <w:rFonts w:ascii="Arial" w:hAnsi="Arial" w:cs="Arial"/>
          <w:color w:val="333333"/>
          <w:sz w:val="20"/>
          <w:szCs w:val="20"/>
        </w:rPr>
        <w:t>da doença e quando existirem infecções bacterianas associadas.</w:t>
      </w:r>
    </w:p>
    <w:p w:rsidR="00896F00" w:rsidRPr="00BA7123" w:rsidRDefault="00896F00" w:rsidP="00BA7123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BA7123">
        <w:rPr>
          <w:rFonts w:ascii="Arial" w:hAnsi="Arial" w:cs="Arial"/>
          <w:color w:val="333333"/>
          <w:sz w:val="20"/>
          <w:szCs w:val="20"/>
        </w:rPr>
        <w:t> </w:t>
      </w:r>
    </w:p>
    <w:p w:rsidR="00795AEC" w:rsidRDefault="00BC6509" w:rsidP="00795AEC">
      <w:pPr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</w:pPr>
      <w:r w:rsidRPr="00BC6509"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  <w:t>Período de incubação e suscetibilidade</w:t>
      </w:r>
    </w:p>
    <w:p w:rsidR="00BC6509" w:rsidRPr="00BC6509" w:rsidRDefault="00BC6509" w:rsidP="00BC6509">
      <w:pPr>
        <w:rPr>
          <w:bCs/>
          <w:sz w:val="20"/>
          <w:lang w:eastAsia="pt-BR"/>
        </w:rPr>
      </w:pPr>
      <w:r w:rsidRPr="00BC6509">
        <w:rPr>
          <w:bCs/>
          <w:sz w:val="20"/>
          <w:lang w:eastAsia="pt-BR"/>
        </w:rPr>
        <w:t>O período de incubação é de 5 a 12 dias. Todos os indivíduos são suscetíveis à doença, sendo as</w:t>
      </w:r>
    </w:p>
    <w:p w:rsidR="00BC6509" w:rsidRPr="00BC6509" w:rsidRDefault="00BC6509" w:rsidP="00BC6509">
      <w:pPr>
        <w:rPr>
          <w:bCs/>
          <w:sz w:val="20"/>
          <w:lang w:eastAsia="pt-BR"/>
        </w:rPr>
      </w:pPr>
      <w:r w:rsidRPr="00BC6509">
        <w:rPr>
          <w:bCs/>
          <w:sz w:val="20"/>
          <w:lang w:eastAsia="pt-BR"/>
        </w:rPr>
        <w:t>crianças as mais sensíveis, inclusive às reinfecções. Não se observa imunidade natural ou adquirida à</w:t>
      </w:r>
    </w:p>
    <w:p w:rsidR="00BC6509" w:rsidRPr="00BC6509" w:rsidRDefault="00BC6509" w:rsidP="00BC6509">
      <w:pPr>
        <w:rPr>
          <w:bCs/>
          <w:sz w:val="20"/>
          <w:lang w:eastAsia="pt-BR"/>
        </w:rPr>
      </w:pPr>
      <w:r w:rsidRPr="00BC6509">
        <w:rPr>
          <w:bCs/>
          <w:sz w:val="20"/>
          <w:lang w:eastAsia="pt-BR"/>
        </w:rPr>
        <w:lastRenderedPageBreak/>
        <w:t>infecção pela Chlamydia trachomatis. Embora a Clamídia seja um agente de baixa infectividade, é vasta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a sua distribuição no mundo.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Estudos experimentais em animais mostram o aparecimento de resistência, após o primeiro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episódio de infecção ocular por Clamídia. Esta resistência, no entanto, é apenas parcial, pois, após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nova inoculação os animais desenvolvem nova infecção.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A resposta inflamatória a primo-infecção da conjuntiva pela Chlamydia trachomatis leva a um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quadro brando e autolimitado de conjuntivite folicular, denominado de conjuntivite de inclusão.</w:t>
      </w:r>
      <w:r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A simples infecção da conjuntiva pela Clamídia não é suficiente para desencadear todas as reações</w:t>
      </w:r>
      <w:r w:rsidR="008F1644"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fisiopatológicas características do tracoma. Para que ocorra o quadro clínico do tracoma são necessárias</w:t>
      </w:r>
      <w:r w:rsidR="008F1644"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reinfecções sucessivas da conjuntiva pelo agente etiológico, pois o indivíduo vive em um meio no qual a</w:t>
      </w:r>
      <w:r w:rsidR="008F1644"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doença é endêmica, o que favorece a possibilidade de contínua reinfecção da conjuntiva. As reinfecções</w:t>
      </w:r>
      <w:r w:rsidR="008F1644"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 xml:space="preserve">sucessivas levam a uma resposta imunológica de hipersensibilidade aos antígenos da Clamídia, </w:t>
      </w:r>
      <w:r w:rsidR="008F1644">
        <w:rPr>
          <w:bCs/>
          <w:sz w:val="20"/>
          <w:lang w:eastAsia="pt-BR"/>
        </w:rPr>
        <w:t>f</w:t>
      </w:r>
      <w:r w:rsidRPr="00BC6509">
        <w:rPr>
          <w:bCs/>
          <w:sz w:val="20"/>
          <w:lang w:eastAsia="pt-BR"/>
        </w:rPr>
        <w:t>azendo</w:t>
      </w:r>
      <w:r w:rsidR="008F1644"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com que a resposta inflamatória seja cada vez mais exuberante e levando à sucessão de fenômenos</w:t>
      </w:r>
      <w:r w:rsidR="008F1644">
        <w:rPr>
          <w:bCs/>
          <w:sz w:val="20"/>
          <w:lang w:eastAsia="pt-BR"/>
        </w:rPr>
        <w:t xml:space="preserve"> </w:t>
      </w:r>
      <w:r w:rsidRPr="00BC6509">
        <w:rPr>
          <w:bCs/>
          <w:sz w:val="20"/>
          <w:lang w:eastAsia="pt-BR"/>
        </w:rPr>
        <w:t>fisiopatológicos que caracterizam o tracoma.</w:t>
      </w:r>
    </w:p>
    <w:p w:rsidR="00896F00" w:rsidRPr="008F1644" w:rsidRDefault="00896F00" w:rsidP="00BA7123">
      <w:pPr>
        <w:spacing w:after="150" w:line="240" w:lineRule="auto"/>
        <w:jc w:val="both"/>
        <w:rPr>
          <w:rStyle w:val="Forte"/>
          <w:sz w:val="24"/>
        </w:rPr>
      </w:pPr>
    </w:p>
    <w:p w:rsidR="008F1644" w:rsidRDefault="008F1644" w:rsidP="008F1644">
      <w:pPr>
        <w:spacing w:after="150" w:line="240" w:lineRule="auto"/>
        <w:ind w:left="150"/>
        <w:jc w:val="both"/>
        <w:rPr>
          <w:rStyle w:val="Forte"/>
          <w:sz w:val="24"/>
        </w:rPr>
      </w:pPr>
      <w:r w:rsidRPr="008F1644">
        <w:rPr>
          <w:rStyle w:val="Forte"/>
          <w:rFonts w:ascii="Arial" w:eastAsia="Times New Roman" w:hAnsi="Arial" w:cs="Arial"/>
          <w:color w:val="333333"/>
          <w:sz w:val="24"/>
          <w:szCs w:val="20"/>
          <w:lang w:eastAsia="pt-BR"/>
        </w:rPr>
        <w:t>Quadro clínico</w:t>
      </w:r>
      <w:r w:rsidRPr="008F1644">
        <w:rPr>
          <w:rStyle w:val="Forte"/>
          <w:sz w:val="24"/>
        </w:rPr>
        <w:t xml:space="preserve"> </w:t>
      </w:r>
    </w:p>
    <w:p w:rsidR="008F1644" w:rsidRDefault="008F1644" w:rsidP="008F164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tracoma inicia-se sob a forma de uma conjuntivite folicular, com hipertrofia papilar e infiltrado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inflamatório que se estende por toda a conjuntiva, especialmente na conjuntiva tarsal superior.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Os folículos constituem-se de agregados linfocitários e da presença de macrófagos, contendo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grande quantidade de inclusões clamidianas. Nos casos mais brandos os folículos podem regredir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espontaneamente. Nos casos mais graves eles crescem e necrosam. A necrose dos folículos leva à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formação de pequenos pontos cicatriciais na conjuntiva. Com as repetidas reinfecções, um número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cada vez maior de pontos cicatriciais se forma, levando à formação de cicatrizes mais extensas. Com o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decorrer do tempo, essas cicatrizes podem tracionar as pálpebras, principalmente a superior, levando à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sua distorção, o entrópio, e fazendo com que os cílios toquem o olho (triquíase).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Os cílios invertidos tocando a córnea podem provocar ulcerações por abrasão, com a consequente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formação de cicatrizes e opacificação corneana, que podem levar a graus variados de diminuição da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acuidade visual e cegueira.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gravidade dos casos de tracoma está diretamente relacionada à frequência dos episódios de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reinfecção e à associação com conjuntivites bacterianas de outras etiologias, que facilitam a transmissão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 potencializam a reação inflamatória, com cicatrização e necrose conjuntivais mais intensas.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Podem também aparecer folículos na região do limbo que, quando necrosam, deixam pequenas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depressões, conhecidas como “Fossetas de Herbert”. É comum também, o aparecimento de ceratites na</w:t>
      </w:r>
      <w:r w:rsidR="00DA060E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região do limbo superior, além de neovascularização conhecida clinicamente como pannus tracomatoso.</w:t>
      </w:r>
      <w:r w:rsid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sintomatologia associada ao tracoma inflamatório inclui lacrimejamento, sensação de corpo</w:t>
      </w:r>
      <w:r w:rsid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estranho, fotofobia discreta e secreção purulenta em pequena quantidade (somente haverá grande</w:t>
      </w:r>
      <w:r w:rsid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quantidade de secreção purulenta quando houver outra conjuntivite bacteriana associada ao tracoma).</w:t>
      </w:r>
      <w:r w:rsid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É comum a presença de quadros assintomáticos, principalmente entre as crianças mais jovens.</w:t>
      </w:r>
      <w:r w:rsid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Os doentes que apresentam entrópio, triquíase e aqueles com ulcerações corneanas referem dor</w:t>
      </w:r>
      <w:r w:rsid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8F164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constante e intensa fotofobia.</w:t>
      </w:r>
    </w:p>
    <w:p w:rsidR="005338C8" w:rsidRDefault="005338C8" w:rsidP="008F164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524D55" w:rsidRDefault="005338C8" w:rsidP="00BA7123">
      <w:pPr>
        <w:spacing w:after="150" w:line="240" w:lineRule="auto"/>
        <w:ind w:left="150"/>
        <w:jc w:val="both"/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</w:pPr>
      <w:r w:rsidRPr="005338C8"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  <w:t>Diagnóstico do tracoma</w:t>
      </w:r>
    </w:p>
    <w:p w:rsid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do tracoma é essencialmente clínico, e geralmente é feito por meio de um exame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ocular externo, utilizando lupa binocular de 2,5 vezes de aumento, com boa iluminação. Ao examinar 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olho para diagnóstico do tracoma deve-se, inicialmente, observar as pálpebras e a córnea, verificando--se a presença ou a ausência de entrópio, triquíase e opacificações corneanas. Em seguida, deve-se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everter a pálpebra superior e examinar a área central da conjuntiva tarsal, desprezando as margens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das pálpebras e os cantos. A conjuntiva normal é lisa, fina, transparente e de coloração rósea. Os vasos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sanguíneos tarsais podem ser observados em toda sua extensão</w:t>
      </w:r>
    </w:p>
    <w:p w:rsidR="005338C8" w:rsidRP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lastRenderedPageBreak/>
        <w:t>No tracoma, a inflamação produz espessamento e opacificação difusa da conjuntiva. Podem--se observar dois tipos de reação conjuntival na inflamação tracomatosa, os folículos e a infiltração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difusa, que podem ocorrer simultaneamente. Para fins da classificação diagnóstica definem-se graus de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inflamação tracomatosa da conjuntiva:</w:t>
      </w:r>
    </w:p>
    <w:p w:rsidR="005338C8" w:rsidRP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Predominância de inflamação folicular, o Tracoma Inflamatório Folicular (TF).</w:t>
      </w:r>
    </w:p>
    <w:p w:rsidR="005338C8" w:rsidRP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Predominância de infiltração e espessamento difuso da conjuntiva, o Tracoma Inflamatório</w:t>
      </w:r>
    </w:p>
    <w:p w:rsid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Intenso (TI).</w:t>
      </w:r>
    </w:p>
    <w:p w:rsidR="005338C8" w:rsidRP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5338C8" w:rsidRP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Os outros sinais para o diagnóstico são:</w:t>
      </w:r>
    </w:p>
    <w:p w:rsidR="005338C8" w:rsidRPr="001A3220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Cicatrização Tracomatosa (TS).</w:t>
      </w:r>
    </w:p>
    <w:p w:rsidR="005338C8" w:rsidRPr="001A3220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Triquíase Tracomatosa (TT).</w:t>
      </w:r>
    </w:p>
    <w:p w:rsidR="005338C8" w:rsidRPr="001A3220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Opacificação Corneana (CO).</w:t>
      </w:r>
    </w:p>
    <w:p w:rsidR="005338C8" w:rsidRDefault="005338C8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Todos esses sinais não são excludentes, podendo ocorrer simultaneamente em um mesmo paciente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 no mesmo olho. Assim, deve-se sempre registrar a sua presença ou ausência.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Tracoma Inflamatório Folicular (TF) caracteriza-se pela presença de, no mínimo, cinco folículos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com pelo menos 0,5 mm de diâmetro na conjuntiva tarsal superior. Os folículos são elevações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arredondadas da conjuntiva, brilhantes e mais pálidas que a conjuntiva ao seu redor (Foto 3). Eles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devem ser diferenciados das alterações causadas por pequenas cicatrizes, dos depósitos degenerativos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na conjuntiva e dos cistos conjuntivais. As pequenas cicatrizes não são redondas, possuindo bordas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angulares, enquanto que os folículos possuem bordas mal delimitadas. Os depósitos degenerativos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incluem os agregados conjuntivais, que são massas opacas amarelas ou brancas, com bordas bem</w:t>
      </w:r>
      <w:r w:rsid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5338C8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definidas e os cistos, que se apresentam como pequenas bolhas claras na conjuntiva.</w:t>
      </w:r>
    </w:p>
    <w:p w:rsidR="009A0524" w:rsidRDefault="009A0524" w:rsidP="005338C8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9A0524" w:rsidRP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Em resumo, o diagnóstico clínico do tracoma baseia-se na verificação da presença ou ausência de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cinco sinais-chave que caracterizam as formas clínicas da doença:</w:t>
      </w:r>
    </w:p>
    <w:p w:rsidR="009A0524" w:rsidRP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9A0524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Tracoma Inflamatório Folicular (TF)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quando estão presentes no mínimo cinco folículos com</w:t>
      </w:r>
      <w:r w:rsidR="003F1AD2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pelo menos 0,5 mm de diâmetro, na conjuntiva da pálpebra superior do olho.</w:t>
      </w:r>
    </w:p>
    <w:p w:rsidR="009A0524" w:rsidRP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9A0524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Tracoma Inflamatório Intenso (TI)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quando ocorre espessamento da conjuntiva da pálpebra</w:t>
      </w:r>
      <w:r w:rsidR="003F1AD2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superior, não permitindo a visualização de mais de 50% dos vasos tarsais profundos.</w:t>
      </w:r>
    </w:p>
    <w:p w:rsidR="009A0524" w:rsidRP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9A0524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Tracoma Cicatricial (TS)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quando se encontram presentes cicatrizes na conjuntiva da pálpebra</w:t>
      </w:r>
      <w:r w:rsidR="003F1AD2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superior.</w:t>
      </w:r>
    </w:p>
    <w:p w:rsidR="009A0524" w:rsidRP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9A0524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Triquíase Tracomatosa (TT)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quando pelo menos um dos cílios atrita o globo ocular, ou quando</w:t>
      </w:r>
      <w:r w:rsidR="003F1AD2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há evidências de remoção recente de cílios invertidos, associados à presença de cicatrizes na</w:t>
      </w:r>
      <w:r w:rsidR="003F1AD2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conjuntiva da pálpebra superior.</w:t>
      </w:r>
    </w:p>
    <w:p w:rsidR="009A0524" w:rsidRP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• Opacificação Corneana (CO)</w:t>
      </w: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opacidade corneana que dificulta a visualização da margem</w:t>
      </w:r>
    </w:p>
    <w:p w:rsidR="009A0524" w:rsidRDefault="009A0524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9A052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da pupila.</w:t>
      </w:r>
    </w:p>
    <w:p w:rsidR="001A3220" w:rsidRDefault="001A3220" w:rsidP="009A052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1A3220" w:rsidRDefault="001A3220" w:rsidP="001A3220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As formas clínicas inflamatórias da doença (TF e/ou TI) são denominadas tracoma ativo por serem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transmissíveis e devem ser tratadas. As formas clínicas: TS, TT, e CO são as formas cicatriciais 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sequelares da doença.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Nas áreas endêmicas, as crianças infectam-se nos primeiros anos de vida, desenvolvendo TF e na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dependência da frequência de reinfecções, da gravidade e da associação com outras conjuntivites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bacterianas podem vir a desenvolver TI, e posteriormente, cicatrização conjuntival tracomatosa (TS).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prevalência das formas inflamatórias ativas (TF e/ou TI) decresce com a idade. Assim, mesmo nas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áreas altamente endêmicas são raros os casos de tracoma ativo entre os adultos. No entanto, a prevalência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lastRenderedPageBreak/>
        <w:t>das formas cicatriciais (TS) e sequelares (TT e CO) tende a aumentar com a idade. Geralmente a baixa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visual e a cegueira por tracoma são mais frequentes em idosos.</w:t>
      </w:r>
    </w:p>
    <w:p w:rsidR="001A3220" w:rsidRDefault="001A3220" w:rsidP="001A3220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1A3220" w:rsidRPr="001A3220" w:rsidRDefault="001A3220" w:rsidP="001A3220">
      <w:pPr>
        <w:spacing w:after="150" w:line="240" w:lineRule="auto"/>
        <w:ind w:left="150"/>
        <w:jc w:val="both"/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</w:pPr>
      <w:r w:rsidRPr="001A3220"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  <w:t>Diagnóstico laboratorial</w:t>
      </w:r>
    </w:p>
    <w:p w:rsidR="001A3220" w:rsidRPr="005338C8" w:rsidRDefault="001A3220" w:rsidP="001A3220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laboratorial deve ser utilizado para a constatação da circulação do agente etiológico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na comunidade, e não para a confirmação de cada caso individualmente.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técnica laboratorial padrão-ouro para o diagnóstico das infecções por Chlamydia trachomatis é 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cultura. A Clamídia é um micro-organismo de vida obrigatoriamente intracelular, portanto só cresce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em cultura de células. Poucos laboratórios do Brasil desenvolvem rotineiramente culturas celulares para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de Clamídia. Trata-se de um procedimento complexo e caro, e que não está disponível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para uso na rotina do programa de controle do tracoma.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partir da segunda metade da década de 80 vem-se utilizando com sucesso outra técnica para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o diagnóstico laboratorial das infecções por Chlamydia trachomatis, </w:t>
      </w:r>
      <w:r w:rsidRPr="001A3220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a imunofluorescência direta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com anticorpos monoclonais. Consiste na observação ao microscópio de campo escuro, de lâminas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contendo material de raspado de conjuntiva corado com anticorpos monoclonais anti-Chlamydia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trachomatis fluorescentes. Trata-se de uma técnica mais simples do que a cultura celular, e que já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vem sendo desenvolvida por um grande número de laboratórios da rede pública e privada no País.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Entretanto, o desempenho desta técnica é melhor para as infecções geniturinárias por C. trachomatis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do que para o tracoma. Apesar de ter alta especificidade, sua sensibilidade é baixa para o tracoma.</w:t>
      </w:r>
    </w:p>
    <w:p w:rsidR="005338C8" w:rsidRDefault="001A3220" w:rsidP="001A3220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laboratorial do tracoma não é considerado essencial, uma vez que nenhuma das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outras doenças oculares, com as quais seria necessário realizar o diagnóstico diferencial, ocorre com as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mesmas características epidemiológicas do tracoma, uma doença endêmica, com aglomeração espacial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dos casos. E por outro lado, um caso de conjuntivite com diagnóstico laboratorial de Chlamydia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trachomatis não é necessariamente um caso de tracoma, pois esse caso pode ser resultante, por exemplo,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 uma contaminação acidental da conjuntiva por Chlamydia trachomatis de origem genital, sendo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1A3220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então um caso de conjuntivite de inclusão.</w:t>
      </w:r>
    </w:p>
    <w:p w:rsidR="00207614" w:rsidRDefault="00207614" w:rsidP="001A3220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207614" w:rsidRPr="00B25D86" w:rsidRDefault="00207614" w:rsidP="00207614">
      <w:pPr>
        <w:spacing w:after="150" w:line="240" w:lineRule="auto"/>
        <w:ind w:left="150"/>
        <w:jc w:val="both"/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</w:pPr>
      <w:r w:rsidRPr="00B25D86"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  <w:t>Diagnóstico diferencial</w:t>
      </w:r>
    </w:p>
    <w:p w:rsidR="00207614" w:rsidRPr="00207614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diferencial do tracoma inflamatório folicular (TF) deve ser feito considerando as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outras conjuntivites foliculares agudas e crônicas, tais como: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Foliculose: presença de pequenos folículos difusos, sem inflamação, mais frequentes no fórnix 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desaparecendo em direção à margem palpebral. A pálpebra superior é pouco afetada e associa-se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à hiperplasia linfoide generalizada observada em crianças.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</w:p>
    <w:p w:rsidR="00207614" w:rsidRPr="00207614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• Conjuntivite folicular tóxica: observada após uso prolongado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de drogas tópicas oculares como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por exemplo, mióticos (pilocarpina) e idoxiuridina, ou uso de cosméticos ou ainda na conjuntivite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pelo vírus do molusco contagioso (Molluscipox virus). Há presença de folículos, que no caso de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uso de cosméticos, podem estar pigmentados.</w:t>
      </w:r>
    </w:p>
    <w:p w:rsidR="00207614" w:rsidRPr="00207614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Conjuntivite de inclusão: outra forma de conjuntivite por Clamídia, de transmissão sexual,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apresenta folículos na conjuntiva tarsal superior e não evolui para cicatrizes conjuntivais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diferenciando-se do tracoma pelas características epidemiológicas.</w:t>
      </w:r>
    </w:p>
    <w:p w:rsidR="00207614" w:rsidRPr="00207614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Conjuntivite folicular aguda: como a conjuntivite viral pelo Adenovirus, geralmente associada 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sintomas sistêmicos agudos, enterovírus e herpes simplex.</w:t>
      </w:r>
    </w:p>
    <w:p w:rsidR="00207614" w:rsidRPr="00207614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Outras menos frequentes: síndrome oculoglandular de Parinaud, ceratoconjuntivite folicular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crônica de Thygeson, conjuntivites bacterianas (Moraxella e outras) e conjuntivite folicular crônica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de Axenfeld.</w:t>
      </w:r>
    </w:p>
    <w:p w:rsidR="00207614" w:rsidRPr="00207614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diferencial do tracoma inflamatório intenso (TI) deve ser feito considerando 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quadro clínico das conjuntivites atópica e primaveril, que se caracterizam por apresentarem papilas,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tarso aveludado e ausência de visualização dos vasos tarsais profundos. Alguns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lastRenderedPageBreak/>
        <w:t>quadros podem ser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diferenciados pela presença de prurido forte na região ocular, sintoma inexistente com a mesma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intensidade nos casos de tracoma.</w:t>
      </w:r>
    </w:p>
    <w:p w:rsidR="00207614" w:rsidRPr="005338C8" w:rsidRDefault="00207614" w:rsidP="00207614">
      <w:pPr>
        <w:spacing w:after="150" w:line="240" w:lineRule="auto"/>
        <w:ind w:left="150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diagnóstico diferencial de triquíase de etiologia tracomatosa (TT) deve ser feito considerando as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outras causas de triquíase.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As triquíases tracomatosas caracterizam-se pela existência de cicatrizes na conjuntiva tarsal superior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 xml:space="preserve"> </w:t>
      </w:r>
      <w:r w:rsidRPr="00207614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(TS) que não estão presentes nas triquíases de outras etiologias.</w:t>
      </w:r>
    </w:p>
    <w:p w:rsidR="00531173" w:rsidRPr="001F431A" w:rsidRDefault="00531173" w:rsidP="00BA7123">
      <w:pPr>
        <w:spacing w:after="150" w:line="240" w:lineRule="auto"/>
        <w:ind w:left="150"/>
        <w:jc w:val="both"/>
        <w:rPr>
          <w:rStyle w:val="Forte"/>
          <w:sz w:val="24"/>
        </w:rPr>
      </w:pPr>
    </w:p>
    <w:p w:rsidR="00B25D86" w:rsidRPr="001F431A" w:rsidRDefault="00B25D86" w:rsidP="001F431A">
      <w:pPr>
        <w:spacing w:after="150" w:line="240" w:lineRule="auto"/>
        <w:ind w:left="150"/>
        <w:jc w:val="both"/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</w:pPr>
      <w:r w:rsidRPr="001F431A">
        <w:rPr>
          <w:rStyle w:val="Forte"/>
          <w:rFonts w:ascii="Arial" w:eastAsia="Times New Roman" w:hAnsi="Arial" w:cs="Arial"/>
          <w:bCs w:val="0"/>
          <w:color w:val="333333"/>
          <w:sz w:val="24"/>
          <w:szCs w:val="20"/>
          <w:lang w:eastAsia="pt-BR"/>
        </w:rPr>
        <w:t>Tratamento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objetivo do tratamento é a cura da infecção e a interrupção da cadeia de transmissão  da doença.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As condutas, a seguir relacionadas, são recomendadas pela Organização Mundial de Saúde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(OMS) e adotadas no Brasil.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B25D86" w:rsidRPr="001F431A" w:rsidRDefault="00B25D86" w:rsidP="00B25D86">
      <w:pPr>
        <w:jc w:val="both"/>
        <w:rPr>
          <w:rStyle w:val="Forte"/>
          <w:rFonts w:eastAsia="Times New Roman"/>
          <w:color w:val="333333"/>
          <w:sz w:val="24"/>
          <w:szCs w:val="20"/>
          <w:lang w:eastAsia="pt-BR"/>
        </w:rPr>
      </w:pPr>
    </w:p>
    <w:p w:rsidR="00B25D86" w:rsidRPr="001F431A" w:rsidRDefault="00B25D86" w:rsidP="001F431A">
      <w:pPr>
        <w:spacing w:after="150" w:line="240" w:lineRule="auto"/>
        <w:ind w:left="150"/>
        <w:jc w:val="both"/>
        <w:rPr>
          <w:rStyle w:val="Forte"/>
          <w:sz w:val="24"/>
        </w:rPr>
      </w:pPr>
      <w:r w:rsidRPr="001F431A">
        <w:rPr>
          <w:rStyle w:val="Forte"/>
          <w:sz w:val="24"/>
        </w:rPr>
        <w:t>Tratamento tópico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A24ADC">
        <w:rPr>
          <w:rFonts w:ascii="Arial" w:hAnsi="Arial" w:cs="Arial"/>
        </w:rPr>
        <w:t>•</w:t>
      </w:r>
      <w:r w:rsidRPr="00A24ADC">
        <w:rPr>
          <w:rFonts w:ascii="Arial" w:hAnsi="Arial" w:cs="Arial"/>
          <w:spacing w:val="50"/>
        </w:rPr>
        <w:t xml:space="preserve"> </w:t>
      </w:r>
      <w:r w:rsidRPr="00A24ADC">
        <w:rPr>
          <w:rFonts w:ascii="Arial" w:hAnsi="Arial" w:cs="Arial"/>
          <w:b/>
          <w:spacing w:val="-19"/>
          <w:w w:val="97"/>
        </w:rPr>
        <w:t>T</w:t>
      </w:r>
      <w:r w:rsidRPr="00A24ADC">
        <w:rPr>
          <w:rFonts w:ascii="Arial" w:hAnsi="Arial" w:cs="Arial"/>
          <w:b/>
          <w:spacing w:val="1"/>
          <w:w w:val="97"/>
        </w:rPr>
        <w:t>e</w:t>
      </w:r>
      <w:r w:rsidRPr="00A24ADC">
        <w:rPr>
          <w:rFonts w:ascii="Arial" w:hAnsi="Arial" w:cs="Arial"/>
          <w:b/>
          <w:spacing w:val="-1"/>
          <w:w w:val="97"/>
        </w:rPr>
        <w:t>t</w:t>
      </w:r>
      <w:r w:rsidRPr="00A24ADC">
        <w:rPr>
          <w:rFonts w:ascii="Arial" w:hAnsi="Arial" w:cs="Arial"/>
          <w:b/>
          <w:spacing w:val="2"/>
          <w:w w:val="97"/>
        </w:rPr>
        <w:t>r</w:t>
      </w:r>
      <w:r w:rsidRPr="00A24ADC">
        <w:rPr>
          <w:rFonts w:ascii="Arial" w:hAnsi="Arial" w:cs="Arial"/>
          <w:b/>
          <w:w w:val="97"/>
        </w:rPr>
        <w:t>ac</w:t>
      </w:r>
      <w:r w:rsidRPr="00A24ADC">
        <w:rPr>
          <w:rFonts w:ascii="Arial" w:hAnsi="Arial" w:cs="Arial"/>
          <w:b/>
          <w:spacing w:val="1"/>
          <w:w w:val="97"/>
        </w:rPr>
        <w:t>i</w:t>
      </w:r>
      <w:r w:rsidRPr="00A24ADC">
        <w:rPr>
          <w:rFonts w:ascii="Arial" w:hAnsi="Arial" w:cs="Arial"/>
          <w:b/>
          <w:w w:val="97"/>
        </w:rPr>
        <w:t>clina</w:t>
      </w:r>
      <w:r w:rsidRPr="00A24ADC">
        <w:rPr>
          <w:rFonts w:ascii="Arial" w:hAnsi="Arial" w:cs="Arial"/>
          <w:b/>
          <w:spacing w:val="-5"/>
          <w:w w:val="97"/>
        </w:rPr>
        <w:t xml:space="preserve"> </w:t>
      </w:r>
      <w:r w:rsidRPr="00A24ADC">
        <w:rPr>
          <w:rFonts w:ascii="Arial" w:hAnsi="Arial" w:cs="Arial"/>
          <w:b/>
        </w:rPr>
        <w:t>a</w:t>
      </w:r>
      <w:r w:rsidRPr="00A24ADC">
        <w:rPr>
          <w:rFonts w:ascii="Arial" w:hAnsi="Arial" w:cs="Arial"/>
          <w:b/>
          <w:spacing w:val="-14"/>
        </w:rPr>
        <w:t xml:space="preserve"> </w:t>
      </w:r>
      <w:r w:rsidRPr="00A24ADC">
        <w:rPr>
          <w:rFonts w:ascii="Arial" w:hAnsi="Arial" w:cs="Arial"/>
          <w:b/>
          <w:w w:val="84"/>
        </w:rPr>
        <w:t>1%</w:t>
      </w:r>
      <w:r w:rsidRPr="00A24ADC">
        <w:rPr>
          <w:rFonts w:ascii="Arial" w:hAnsi="Arial" w:cs="Arial"/>
          <w:b/>
          <w:spacing w:val="1"/>
          <w:w w:val="84"/>
        </w:rPr>
        <w:t xml:space="preserve"> </w:t>
      </w:r>
      <w:r w:rsidRPr="00A24ADC">
        <w:rPr>
          <w:rFonts w:ascii="Arial" w:hAnsi="Arial" w:cs="Arial"/>
          <w:b/>
        </w:rPr>
        <w:t>(</w:t>
      </w:r>
      <w:r w:rsidRPr="00A24ADC">
        <w:rPr>
          <w:rFonts w:ascii="Arial" w:hAnsi="Arial" w:cs="Arial"/>
          <w:b/>
          <w:spacing w:val="2"/>
        </w:rPr>
        <w:t>p</w:t>
      </w:r>
      <w:r w:rsidRPr="00A24ADC">
        <w:rPr>
          <w:rFonts w:ascii="Arial" w:hAnsi="Arial" w:cs="Arial"/>
          <w:b/>
          <w:spacing w:val="-2"/>
        </w:rPr>
        <w:t>o</w:t>
      </w:r>
      <w:r w:rsidRPr="00A24ADC">
        <w:rPr>
          <w:rFonts w:ascii="Arial" w:hAnsi="Arial" w:cs="Arial"/>
          <w:b/>
        </w:rPr>
        <w:t>ma</w:t>
      </w:r>
      <w:r w:rsidRPr="00A24ADC">
        <w:rPr>
          <w:rFonts w:ascii="Arial" w:hAnsi="Arial" w:cs="Arial"/>
          <w:b/>
          <w:spacing w:val="1"/>
        </w:rPr>
        <w:t>d</w:t>
      </w:r>
      <w:r w:rsidRPr="00A24ADC">
        <w:rPr>
          <w:rFonts w:ascii="Arial" w:hAnsi="Arial" w:cs="Arial"/>
          <w:b/>
        </w:rPr>
        <w:t>a</w:t>
      </w:r>
      <w:r w:rsidRPr="00A24ADC">
        <w:rPr>
          <w:rFonts w:ascii="Arial" w:hAnsi="Arial" w:cs="Arial"/>
          <w:b/>
          <w:spacing w:val="-15"/>
        </w:rPr>
        <w:t xml:space="preserve"> </w:t>
      </w:r>
      <w:r w:rsidRPr="00A24ADC">
        <w:rPr>
          <w:rFonts w:ascii="Arial" w:hAnsi="Arial" w:cs="Arial"/>
          <w:b/>
          <w:spacing w:val="-2"/>
        </w:rPr>
        <w:t>o</w:t>
      </w:r>
      <w:r w:rsidRPr="00A24ADC">
        <w:rPr>
          <w:rFonts w:ascii="Arial" w:hAnsi="Arial" w:cs="Arial"/>
          <w:b/>
        </w:rPr>
        <w:t>ft</w:t>
      </w:r>
      <w:r w:rsidRPr="00A24ADC">
        <w:rPr>
          <w:rFonts w:ascii="Arial" w:hAnsi="Arial" w:cs="Arial"/>
          <w:b/>
          <w:spacing w:val="1"/>
        </w:rPr>
        <w:t>á</w:t>
      </w:r>
      <w:r w:rsidRPr="00A24ADC">
        <w:rPr>
          <w:rFonts w:ascii="Arial" w:hAnsi="Arial" w:cs="Arial"/>
          <w:b/>
        </w:rPr>
        <w:t>lm</w:t>
      </w:r>
      <w:r w:rsidRPr="00A24ADC">
        <w:rPr>
          <w:rFonts w:ascii="Arial" w:hAnsi="Arial" w:cs="Arial"/>
          <w:b/>
          <w:spacing w:val="1"/>
        </w:rPr>
        <w:t>i</w:t>
      </w:r>
      <w:r w:rsidRPr="00A24ADC">
        <w:rPr>
          <w:rFonts w:ascii="Arial" w:hAnsi="Arial" w:cs="Arial"/>
          <w:b/>
          <w:spacing w:val="3"/>
        </w:rPr>
        <w:t>c</w:t>
      </w:r>
      <w:r w:rsidRPr="00A24ADC">
        <w:rPr>
          <w:rFonts w:ascii="Arial" w:hAnsi="Arial" w:cs="Arial"/>
          <w:b/>
        </w:rPr>
        <w:t>a)</w:t>
      </w:r>
      <w:r w:rsidRPr="00A24ADC">
        <w:rPr>
          <w:rFonts w:ascii="Arial" w:hAnsi="Arial" w:cs="Arial"/>
          <w:b/>
          <w:spacing w:val="-16"/>
        </w:rPr>
        <w:t xml:space="preserve"> </w:t>
      </w:r>
      <w:r w:rsidRPr="00A24ADC">
        <w:rPr>
          <w:rFonts w:ascii="Arial" w:hAnsi="Arial" w:cs="Arial"/>
        </w:rPr>
        <w:t>–</w:t>
      </w:r>
      <w:r w:rsidRPr="00A24ADC">
        <w:rPr>
          <w:rFonts w:ascii="Arial" w:hAnsi="Arial" w:cs="Arial"/>
          <w:spacing w:val="-1"/>
        </w:rPr>
        <w:t xml:space="preserve"> </w:t>
      </w: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utilizar, 2 vezes ao dia, durante 6 semanas.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Sulfa colírio – usar uma gota, 4 vezes ao dia, durante 6 semanas, na ausência de tetraciclina ou por hipersensibilidade à mesma.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A24ADC">
        <w:rPr>
          <w:rFonts w:ascii="Arial" w:hAnsi="Arial" w:cs="Arial"/>
          <w:b/>
          <w:spacing w:val="-17"/>
          <w:w w:val="78"/>
        </w:rPr>
        <w:t>T</w:t>
      </w:r>
      <w:r w:rsidRPr="00A24ADC">
        <w:rPr>
          <w:rFonts w:ascii="Arial" w:hAnsi="Arial" w:cs="Arial"/>
          <w:b/>
          <w:w w:val="113"/>
        </w:rPr>
        <w:t>ratamento</w:t>
      </w:r>
      <w:r w:rsidRPr="00A24ADC">
        <w:rPr>
          <w:rFonts w:ascii="Arial" w:hAnsi="Arial" w:cs="Arial"/>
          <w:b/>
          <w:spacing w:val="9"/>
        </w:rPr>
        <w:t xml:space="preserve"> </w:t>
      </w:r>
      <w:r w:rsidRPr="00A24ADC">
        <w:rPr>
          <w:rFonts w:ascii="Arial" w:hAnsi="Arial" w:cs="Arial"/>
          <w:b/>
          <w:w w:val="115"/>
        </w:rPr>
        <w:t>sistêmico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Tratamento seletivo, com antibiótico sistêmico via oral, indicado para casos portadores das formas ativas do tracoma - tracoma inﬂamatório folicular (TF) e/ou tracoma inﬂamatório intenso (TI)). O tratamento sistêmico deve ser usado com critério e acompanhamento médico, devido às possíveis reações adversas</w:t>
      </w:r>
      <w:r w:rsidRPr="00A24ADC">
        <w:rPr>
          <w:rFonts w:ascii="Arial" w:hAnsi="Arial" w:cs="Arial"/>
        </w:rPr>
        <w:t>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A24ADC">
        <w:rPr>
          <w:rFonts w:ascii="Arial" w:hAnsi="Arial" w:cs="Arial"/>
        </w:rPr>
        <w:t>•</w:t>
      </w:r>
      <w:r w:rsidRPr="00A24ADC">
        <w:rPr>
          <w:rFonts w:ascii="Arial" w:hAnsi="Arial" w:cs="Arial"/>
          <w:spacing w:val="50"/>
        </w:rPr>
        <w:t xml:space="preserve"> </w:t>
      </w:r>
      <w:r w:rsidRPr="00A24ADC">
        <w:rPr>
          <w:rFonts w:ascii="Arial" w:hAnsi="Arial" w:cs="Arial"/>
          <w:b/>
          <w:spacing w:val="-1"/>
        </w:rPr>
        <w:t>A</w:t>
      </w:r>
      <w:r w:rsidRPr="00A24ADC">
        <w:rPr>
          <w:rFonts w:ascii="Arial" w:hAnsi="Arial" w:cs="Arial"/>
          <w:b/>
        </w:rPr>
        <w:t>z</w:t>
      </w:r>
      <w:r w:rsidRPr="00A24ADC">
        <w:rPr>
          <w:rFonts w:ascii="Arial" w:hAnsi="Arial" w:cs="Arial"/>
          <w:b/>
          <w:spacing w:val="-1"/>
        </w:rPr>
        <w:t>it</w:t>
      </w:r>
      <w:r w:rsidRPr="00A24ADC">
        <w:rPr>
          <w:rFonts w:ascii="Arial" w:hAnsi="Arial" w:cs="Arial"/>
          <w:b/>
          <w:spacing w:val="-2"/>
        </w:rPr>
        <w:t>ro</w:t>
      </w:r>
      <w:r w:rsidRPr="00A24ADC">
        <w:rPr>
          <w:rFonts w:ascii="Arial" w:hAnsi="Arial" w:cs="Arial"/>
          <w:b/>
        </w:rPr>
        <w:t>m</w:t>
      </w:r>
      <w:r w:rsidRPr="00A24ADC">
        <w:rPr>
          <w:rFonts w:ascii="Arial" w:hAnsi="Arial" w:cs="Arial"/>
          <w:b/>
          <w:spacing w:val="1"/>
        </w:rPr>
        <w:t>i</w:t>
      </w:r>
      <w:r w:rsidRPr="00A24ADC">
        <w:rPr>
          <w:rFonts w:ascii="Arial" w:hAnsi="Arial" w:cs="Arial"/>
          <w:b/>
        </w:rPr>
        <w:t>cina</w:t>
      </w:r>
      <w:r w:rsidRPr="00A24ADC">
        <w:rPr>
          <w:rFonts w:ascii="Arial" w:hAnsi="Arial" w:cs="Arial"/>
          <w:b/>
          <w:spacing w:val="-9"/>
        </w:rPr>
        <w:t xml:space="preserve"> </w:t>
      </w:r>
      <w:r w:rsidRPr="00A24ADC">
        <w:rPr>
          <w:rFonts w:ascii="Arial" w:hAnsi="Arial" w:cs="Arial"/>
        </w:rPr>
        <w:t>–</w:t>
      </w:r>
      <w:r w:rsidRPr="00A24ADC">
        <w:rPr>
          <w:rFonts w:ascii="Arial" w:hAnsi="Arial" w:cs="Arial"/>
          <w:spacing w:val="1"/>
        </w:rPr>
        <w:t xml:space="preserve"> </w:t>
      </w: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20mg/kg de peso para menores de 12 anos de idade, e 1g para adultos, em dose única oral. Esse medicamento vem sendo utilizado com bons resultados em termos de efetividade para o tratamento e sua utilização vem sendo ampliada para o controle da endemia no mundo.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Ministério da Saúde regulamentou o uso do azitromicina para o tratamento do tracoma, conforme Portaria GM/MS nº  67, de 22 de dezembro de 2005.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Outros antibióticos também são utilizados para o tratamento do tracoma ativo: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A24ADC">
        <w:rPr>
          <w:rFonts w:ascii="Arial" w:hAnsi="Arial" w:cs="Arial"/>
        </w:rPr>
        <w:t>•</w:t>
      </w:r>
      <w:r w:rsidRPr="00A24ADC">
        <w:rPr>
          <w:rFonts w:ascii="Arial" w:hAnsi="Arial" w:cs="Arial"/>
          <w:spacing w:val="50"/>
        </w:rPr>
        <w:t xml:space="preserve"> </w:t>
      </w:r>
      <w:r w:rsidRPr="00A24ADC">
        <w:rPr>
          <w:rFonts w:ascii="Arial" w:hAnsi="Arial" w:cs="Arial"/>
          <w:b/>
          <w:spacing w:val="1"/>
          <w:w w:val="97"/>
        </w:rPr>
        <w:t>E</w:t>
      </w:r>
      <w:r w:rsidRPr="00A24ADC">
        <w:rPr>
          <w:rFonts w:ascii="Arial" w:hAnsi="Arial" w:cs="Arial"/>
          <w:b/>
          <w:w w:val="97"/>
        </w:rPr>
        <w:t>r</w:t>
      </w:r>
      <w:r w:rsidRPr="00A24ADC">
        <w:rPr>
          <w:rFonts w:ascii="Arial" w:hAnsi="Arial" w:cs="Arial"/>
          <w:b/>
          <w:spacing w:val="-1"/>
          <w:w w:val="97"/>
        </w:rPr>
        <w:t>it</w:t>
      </w:r>
      <w:r w:rsidRPr="00A24ADC">
        <w:rPr>
          <w:rFonts w:ascii="Arial" w:hAnsi="Arial" w:cs="Arial"/>
          <w:b/>
          <w:spacing w:val="-2"/>
          <w:w w:val="97"/>
        </w:rPr>
        <w:t>ro</w:t>
      </w:r>
      <w:r w:rsidRPr="00A24ADC">
        <w:rPr>
          <w:rFonts w:ascii="Arial" w:hAnsi="Arial" w:cs="Arial"/>
          <w:b/>
          <w:w w:val="97"/>
        </w:rPr>
        <w:t>m</w:t>
      </w:r>
      <w:r w:rsidRPr="00A24ADC">
        <w:rPr>
          <w:rFonts w:ascii="Arial" w:hAnsi="Arial" w:cs="Arial"/>
          <w:b/>
          <w:spacing w:val="1"/>
          <w:w w:val="97"/>
        </w:rPr>
        <w:t>i</w:t>
      </w:r>
      <w:r w:rsidRPr="00A24ADC">
        <w:rPr>
          <w:rFonts w:ascii="Arial" w:hAnsi="Arial" w:cs="Arial"/>
          <w:b/>
          <w:w w:val="97"/>
        </w:rPr>
        <w:t>cina</w:t>
      </w:r>
      <w:r w:rsidRPr="00A24ADC">
        <w:rPr>
          <w:rFonts w:ascii="Arial" w:hAnsi="Arial" w:cs="Arial"/>
          <w:b/>
          <w:spacing w:val="1"/>
          <w:w w:val="97"/>
        </w:rPr>
        <w:t xml:space="preserve"> </w:t>
      </w:r>
      <w:r w:rsidRPr="00A24ADC">
        <w:rPr>
          <w:rFonts w:ascii="Arial" w:hAnsi="Arial" w:cs="Arial"/>
        </w:rPr>
        <w:t>–</w:t>
      </w:r>
      <w:r w:rsidRPr="00A24ADC">
        <w:rPr>
          <w:rFonts w:ascii="Arial" w:hAnsi="Arial" w:cs="Arial"/>
          <w:spacing w:val="-3"/>
        </w:rPr>
        <w:t xml:space="preserve"> </w:t>
      </w: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250mg, de 6 em 6 horas, via oral, durante 3 semanas (50mg por kg de peso, por dia); na sua falta, utilizar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A24ADC">
        <w:rPr>
          <w:rFonts w:ascii="Arial" w:hAnsi="Arial" w:cs="Arial"/>
        </w:rPr>
        <w:lastRenderedPageBreak/>
        <w:t>•</w:t>
      </w:r>
      <w:r w:rsidRPr="00A24ADC">
        <w:rPr>
          <w:rFonts w:ascii="Arial" w:hAnsi="Arial" w:cs="Arial"/>
          <w:spacing w:val="50"/>
        </w:rPr>
        <w:t xml:space="preserve"> </w:t>
      </w:r>
      <w:r w:rsidRPr="00A24ADC">
        <w:rPr>
          <w:rFonts w:ascii="Arial" w:hAnsi="Arial" w:cs="Arial"/>
          <w:b/>
          <w:spacing w:val="-19"/>
          <w:w w:val="97"/>
        </w:rPr>
        <w:t>T</w:t>
      </w:r>
      <w:r w:rsidRPr="00A24ADC">
        <w:rPr>
          <w:rFonts w:ascii="Arial" w:hAnsi="Arial" w:cs="Arial"/>
          <w:b/>
          <w:spacing w:val="1"/>
          <w:w w:val="97"/>
        </w:rPr>
        <w:t>e</w:t>
      </w:r>
      <w:r w:rsidRPr="00A24ADC">
        <w:rPr>
          <w:rFonts w:ascii="Arial" w:hAnsi="Arial" w:cs="Arial"/>
          <w:b/>
          <w:spacing w:val="-1"/>
          <w:w w:val="97"/>
        </w:rPr>
        <w:t>t</w:t>
      </w:r>
      <w:r w:rsidRPr="00A24ADC">
        <w:rPr>
          <w:rFonts w:ascii="Arial" w:hAnsi="Arial" w:cs="Arial"/>
          <w:b/>
          <w:spacing w:val="2"/>
          <w:w w:val="97"/>
        </w:rPr>
        <w:t>r</w:t>
      </w:r>
      <w:r w:rsidRPr="00A24ADC">
        <w:rPr>
          <w:rFonts w:ascii="Arial" w:hAnsi="Arial" w:cs="Arial"/>
          <w:b/>
          <w:w w:val="97"/>
        </w:rPr>
        <w:t>ac</w:t>
      </w:r>
      <w:r w:rsidRPr="00A24ADC">
        <w:rPr>
          <w:rFonts w:ascii="Arial" w:hAnsi="Arial" w:cs="Arial"/>
          <w:b/>
          <w:spacing w:val="1"/>
          <w:w w:val="97"/>
        </w:rPr>
        <w:t>i</w:t>
      </w:r>
      <w:r w:rsidRPr="00A24ADC">
        <w:rPr>
          <w:rFonts w:ascii="Arial" w:hAnsi="Arial" w:cs="Arial"/>
          <w:b/>
          <w:w w:val="97"/>
        </w:rPr>
        <w:t>clina</w:t>
      </w:r>
      <w:r w:rsidRPr="00A24ADC">
        <w:rPr>
          <w:rFonts w:ascii="Arial" w:hAnsi="Arial" w:cs="Arial"/>
          <w:b/>
          <w:spacing w:val="-2"/>
          <w:w w:val="97"/>
        </w:rPr>
        <w:t xml:space="preserve"> </w:t>
      </w:r>
      <w:r w:rsidRPr="00A24ADC">
        <w:rPr>
          <w:rFonts w:ascii="Arial" w:hAnsi="Arial" w:cs="Arial"/>
        </w:rPr>
        <w:t xml:space="preserve">– </w:t>
      </w: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250mg, de 6 em 6 horas, via oral, durante 3 semanas (somente para maiores de 10 anos);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A24ADC">
        <w:rPr>
          <w:rFonts w:ascii="Arial" w:hAnsi="Arial" w:cs="Arial"/>
        </w:rPr>
        <w:t>•</w:t>
      </w:r>
      <w:r w:rsidRPr="00A24ADC">
        <w:rPr>
          <w:rFonts w:ascii="Arial" w:hAnsi="Arial" w:cs="Arial"/>
          <w:spacing w:val="50"/>
        </w:rPr>
        <w:t xml:space="preserve"> </w:t>
      </w:r>
      <w:r w:rsidRPr="00A24ADC">
        <w:rPr>
          <w:rFonts w:ascii="Arial" w:hAnsi="Arial" w:cs="Arial"/>
          <w:b/>
          <w:spacing w:val="1"/>
        </w:rPr>
        <w:t>D</w:t>
      </w:r>
      <w:r w:rsidRPr="00A24ADC">
        <w:rPr>
          <w:rFonts w:ascii="Arial" w:hAnsi="Arial" w:cs="Arial"/>
          <w:b/>
          <w:spacing w:val="-5"/>
        </w:rPr>
        <w:t>o</w:t>
      </w:r>
      <w:r w:rsidRPr="00A24ADC">
        <w:rPr>
          <w:rFonts w:ascii="Arial" w:hAnsi="Arial" w:cs="Arial"/>
          <w:b/>
        </w:rPr>
        <w:t>x</w:t>
      </w:r>
      <w:r w:rsidRPr="00A24ADC">
        <w:rPr>
          <w:rFonts w:ascii="Arial" w:hAnsi="Arial" w:cs="Arial"/>
          <w:b/>
          <w:spacing w:val="1"/>
        </w:rPr>
        <w:t>i</w:t>
      </w:r>
      <w:r w:rsidRPr="00A24ADC">
        <w:rPr>
          <w:rFonts w:ascii="Arial" w:hAnsi="Arial" w:cs="Arial"/>
          <w:b/>
        </w:rPr>
        <w:t>c</w:t>
      </w:r>
      <w:r w:rsidRPr="00A24ADC">
        <w:rPr>
          <w:rFonts w:ascii="Arial" w:hAnsi="Arial" w:cs="Arial"/>
          <w:b/>
          <w:spacing w:val="1"/>
        </w:rPr>
        <w:t>i</w:t>
      </w:r>
      <w:r w:rsidRPr="00A24ADC">
        <w:rPr>
          <w:rFonts w:ascii="Arial" w:hAnsi="Arial" w:cs="Arial"/>
          <w:b/>
        </w:rPr>
        <w:t>clina</w:t>
      </w:r>
      <w:r w:rsidRPr="00A24ADC">
        <w:rPr>
          <w:rFonts w:ascii="Arial" w:hAnsi="Arial" w:cs="Arial"/>
          <w:b/>
          <w:spacing w:val="-7"/>
        </w:rPr>
        <w:t xml:space="preserve"> </w:t>
      </w:r>
      <w:r w:rsidRPr="00A24ADC">
        <w:rPr>
          <w:rFonts w:ascii="Arial" w:hAnsi="Arial" w:cs="Arial"/>
        </w:rPr>
        <w:t>–</w:t>
      </w:r>
      <w:r w:rsidRPr="00A24ADC">
        <w:rPr>
          <w:rFonts w:ascii="Arial" w:hAnsi="Arial" w:cs="Arial"/>
          <w:spacing w:val="-5"/>
        </w:rPr>
        <w:t xml:space="preserve"> </w:t>
      </w: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50mg, de 12 em 12 horas, via oral, durante 3 semanas (somente para maiores de 10 anos);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A24ADC">
        <w:rPr>
          <w:rFonts w:ascii="Arial" w:hAnsi="Arial" w:cs="Arial"/>
        </w:rPr>
        <w:t>•</w:t>
      </w:r>
      <w:r w:rsidRPr="00A24ADC">
        <w:rPr>
          <w:rFonts w:ascii="Arial" w:hAnsi="Arial" w:cs="Arial"/>
          <w:spacing w:val="50"/>
        </w:rPr>
        <w:t xml:space="preserve"> </w:t>
      </w:r>
      <w:r w:rsidRPr="00A24ADC">
        <w:rPr>
          <w:rFonts w:ascii="Arial" w:hAnsi="Arial" w:cs="Arial"/>
          <w:b/>
          <w:spacing w:val="-2"/>
          <w:w w:val="97"/>
        </w:rPr>
        <w:t>S</w:t>
      </w:r>
      <w:r w:rsidRPr="00A24ADC">
        <w:rPr>
          <w:rFonts w:ascii="Arial" w:hAnsi="Arial" w:cs="Arial"/>
          <w:b/>
          <w:spacing w:val="2"/>
          <w:w w:val="97"/>
        </w:rPr>
        <w:t>u</w:t>
      </w:r>
      <w:r w:rsidRPr="00A24ADC">
        <w:rPr>
          <w:rFonts w:ascii="Arial" w:hAnsi="Arial" w:cs="Arial"/>
          <w:b/>
          <w:w w:val="97"/>
        </w:rPr>
        <w:t>l</w:t>
      </w:r>
      <w:r w:rsidRPr="00A24ADC">
        <w:rPr>
          <w:rFonts w:ascii="Arial" w:hAnsi="Arial" w:cs="Arial"/>
          <w:b/>
          <w:spacing w:val="1"/>
          <w:w w:val="97"/>
        </w:rPr>
        <w:t>f</w:t>
      </w:r>
      <w:r w:rsidRPr="00A24ADC">
        <w:rPr>
          <w:rFonts w:ascii="Arial" w:hAnsi="Arial" w:cs="Arial"/>
          <w:b/>
          <w:w w:val="97"/>
        </w:rPr>
        <w:t>ad</w:t>
      </w:r>
      <w:r w:rsidRPr="00A24ADC">
        <w:rPr>
          <w:rFonts w:ascii="Arial" w:hAnsi="Arial" w:cs="Arial"/>
          <w:b/>
          <w:spacing w:val="1"/>
          <w:w w:val="97"/>
        </w:rPr>
        <w:t>i</w:t>
      </w:r>
      <w:r w:rsidRPr="00A24ADC">
        <w:rPr>
          <w:rFonts w:ascii="Arial" w:hAnsi="Arial" w:cs="Arial"/>
          <w:b/>
          <w:w w:val="97"/>
        </w:rPr>
        <w:t>azina</w:t>
      </w:r>
      <w:r w:rsidRPr="00A24ADC">
        <w:rPr>
          <w:rFonts w:ascii="Arial" w:hAnsi="Arial" w:cs="Arial"/>
          <w:b/>
          <w:spacing w:val="-3"/>
          <w:w w:val="97"/>
        </w:rPr>
        <w:t xml:space="preserve"> </w:t>
      </w:r>
      <w:r w:rsidRPr="00A24ADC">
        <w:rPr>
          <w:rFonts w:ascii="Arial" w:hAnsi="Arial" w:cs="Arial"/>
          <w:b/>
        </w:rPr>
        <w:t>(</w:t>
      </w:r>
      <w:r w:rsidRPr="00A24ADC">
        <w:rPr>
          <w:rFonts w:ascii="Arial" w:hAnsi="Arial" w:cs="Arial"/>
          <w:b/>
          <w:spacing w:val="-2"/>
        </w:rPr>
        <w:t>S</w:t>
      </w:r>
      <w:r w:rsidRPr="00A24ADC">
        <w:rPr>
          <w:rFonts w:ascii="Arial" w:hAnsi="Arial" w:cs="Arial"/>
          <w:b/>
          <w:spacing w:val="2"/>
        </w:rPr>
        <w:t>u</w:t>
      </w:r>
      <w:r w:rsidRPr="00A24ADC">
        <w:rPr>
          <w:rFonts w:ascii="Arial" w:hAnsi="Arial" w:cs="Arial"/>
          <w:b/>
        </w:rPr>
        <w:t>l</w:t>
      </w:r>
      <w:r w:rsidRPr="00A24ADC">
        <w:rPr>
          <w:rFonts w:ascii="Arial" w:hAnsi="Arial" w:cs="Arial"/>
          <w:b/>
          <w:spacing w:val="1"/>
        </w:rPr>
        <w:t>f</w:t>
      </w:r>
      <w:r w:rsidRPr="00A24ADC">
        <w:rPr>
          <w:rFonts w:ascii="Arial" w:hAnsi="Arial" w:cs="Arial"/>
          <w:b/>
        </w:rPr>
        <w:t>a)</w:t>
      </w:r>
      <w:r w:rsidRPr="00A24ADC">
        <w:rPr>
          <w:rFonts w:ascii="Arial" w:hAnsi="Arial" w:cs="Arial"/>
          <w:b/>
          <w:spacing w:val="-18"/>
        </w:rPr>
        <w:t xml:space="preserve"> </w:t>
      </w:r>
      <w:r w:rsidRPr="00A24ADC">
        <w:rPr>
          <w:rFonts w:ascii="Arial" w:hAnsi="Arial" w:cs="Arial"/>
        </w:rPr>
        <w:t>–</w:t>
      </w:r>
      <w:r w:rsidRPr="00A24ADC">
        <w:rPr>
          <w:rFonts w:ascii="Arial" w:hAnsi="Arial" w:cs="Arial"/>
          <w:spacing w:val="-1"/>
        </w:rPr>
        <w:t xml:space="preserve"> </w:t>
      </w: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250mg, de 6 em 6 horas, via oral, durante 3 semanas.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A24ADC">
        <w:rPr>
          <w:rFonts w:ascii="Arial" w:hAnsi="Arial" w:cs="Arial"/>
          <w:b/>
          <w:spacing w:val="-16"/>
          <w:w w:val="78"/>
        </w:rPr>
        <w:t>T</w:t>
      </w:r>
      <w:r w:rsidRPr="00A24ADC">
        <w:rPr>
          <w:rFonts w:ascii="Arial" w:hAnsi="Arial" w:cs="Arial"/>
          <w:b/>
          <w:w w:val="113"/>
        </w:rPr>
        <w:t>ratamento</w:t>
      </w:r>
      <w:r w:rsidRPr="00A24ADC">
        <w:rPr>
          <w:rFonts w:ascii="Arial" w:hAnsi="Arial" w:cs="Arial"/>
          <w:b/>
          <w:spacing w:val="8"/>
        </w:rPr>
        <w:t xml:space="preserve"> </w:t>
      </w:r>
      <w:r w:rsidRPr="00A24ADC">
        <w:rPr>
          <w:rFonts w:ascii="Arial" w:hAnsi="Arial" w:cs="Arial"/>
          <w:b/>
        </w:rPr>
        <w:t>em</w:t>
      </w:r>
      <w:r w:rsidRPr="00A24ADC">
        <w:rPr>
          <w:rFonts w:ascii="Arial" w:hAnsi="Arial" w:cs="Arial"/>
          <w:b/>
          <w:spacing w:val="45"/>
        </w:rPr>
        <w:t xml:space="preserve"> </w:t>
      </w:r>
      <w:r w:rsidRPr="00A24ADC">
        <w:rPr>
          <w:rFonts w:ascii="Arial" w:hAnsi="Arial" w:cs="Arial"/>
          <w:b/>
          <w:w w:val="113"/>
        </w:rPr>
        <w:t>massa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OMS orienta a utilização de tratamento sistêmico, em massa, quando as prevalências de tracoma inﬂamatório (TF e/ou TI), em crianças de 1 a 9 anos de idade, são maiores ou iguais a 10% em localidades, territórios, comunidades e distritos (Quadro 1).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A24ADC">
        <w:rPr>
          <w:rFonts w:ascii="Arial" w:hAnsi="Arial" w:cs="Arial"/>
          <w:b/>
          <w:spacing w:val="-17"/>
          <w:w w:val="78"/>
        </w:rPr>
        <w:t>T</w:t>
      </w:r>
      <w:r w:rsidRPr="00A24ADC">
        <w:rPr>
          <w:rFonts w:ascii="Arial" w:hAnsi="Arial" w:cs="Arial"/>
          <w:b/>
          <w:w w:val="113"/>
        </w:rPr>
        <w:t>ratamento</w:t>
      </w:r>
      <w:r w:rsidRPr="00A24ADC">
        <w:rPr>
          <w:rFonts w:ascii="Arial" w:hAnsi="Arial" w:cs="Arial"/>
          <w:b/>
          <w:spacing w:val="9"/>
        </w:rPr>
        <w:t xml:space="preserve"> </w:t>
      </w:r>
      <w:r w:rsidRPr="00A24ADC">
        <w:rPr>
          <w:rFonts w:ascii="Arial" w:hAnsi="Arial" w:cs="Arial"/>
          <w:b/>
          <w:w w:val="108"/>
        </w:rPr>
        <w:t>cirúrgico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Os casos de entrópio e/ou de triquíase tracomatosa (TT) devem ser encaminhados para ser- viços de referência oftalmológica, para a correção cirúrgica. Todos os casos de opacidade corneana (CO) devem ser encaminhados a um serviço de referência oftalmológica e ter avaliada sua acui- dade visual.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Além do tratamento medicamentoso, são fundamentais as medidas de promoção da higiene pessoal e familiar, tais como a limpeza do rosto, o destino adequado do lixo, disponibilidade de água e saneamento.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Estratégia de tratamento, indicada segundo a proporção de crianças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(de 1 a 9 anos), com tracoma inﬂamatório na comunidade a ser trabalhada</w:t>
      </w:r>
    </w:p>
    <w:p w:rsidR="00B25D86" w:rsidRDefault="00B25D86" w:rsidP="00B25D86">
      <w:pPr>
        <w:jc w:val="both"/>
        <w:rPr>
          <w:rFonts w:ascii="Arial" w:hAnsi="Arial" w:cs="Arial"/>
        </w:rPr>
      </w:pPr>
    </w:p>
    <w:p w:rsidR="00B25D86" w:rsidRDefault="00B25D86" w:rsidP="00B25D86">
      <w:pPr>
        <w:jc w:val="both"/>
        <w:rPr>
          <w:rFonts w:ascii="Arial" w:hAnsi="Arial" w:cs="Arial"/>
          <w:b/>
          <w:color w:val="333333"/>
          <w:lang w:eastAsia="pt-BR"/>
        </w:rPr>
      </w:pPr>
      <w:r>
        <w:rPr>
          <w:rFonts w:ascii="Arial" w:hAnsi="Arial" w:cs="Arial"/>
          <w:b/>
          <w:color w:val="333333"/>
          <w:lang w:eastAsia="pt-BR"/>
        </w:rPr>
        <w:t xml:space="preserve">  </w:t>
      </w:r>
      <w:r w:rsidRPr="00A24ADC">
        <w:rPr>
          <w:rFonts w:ascii="Arial" w:hAnsi="Arial" w:cs="Arial"/>
          <w:b/>
          <w:color w:val="333333"/>
          <w:lang w:eastAsia="pt-BR"/>
        </w:rPr>
        <w:t>Tabela 1 – Estratégias de tratamento do tracoma com Azitromicina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B25D86">
        <w:rPr>
          <w:rFonts w:ascii="Arial" w:hAnsi="Arial" w:cs="Arial"/>
        </w:rPr>
        <w:drawing>
          <wp:inline distT="0" distB="0" distL="0" distR="0">
            <wp:extent cx="5305425" cy="1209675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86" w:rsidRDefault="00B25D86" w:rsidP="00BA7123">
      <w:pPr>
        <w:spacing w:after="150" w:line="240" w:lineRule="auto"/>
        <w:ind w:left="15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A Organização Mundial de Saúde recomenda a realização do tratamento em massa por, no mínimo, 3 anos consecutivos, até que a prevalência de tracoma inﬂamatório, em crianças de 1 a 9 anos de idade, se encontre abaixo de 5%.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A24ADC">
        <w:rPr>
          <w:rFonts w:ascii="Arial" w:hAnsi="Arial" w:cs="Arial"/>
          <w:b/>
          <w:w w:val="109"/>
        </w:rPr>
        <w:lastRenderedPageBreak/>
        <w:t>Controle</w:t>
      </w:r>
      <w:r w:rsidRPr="00A24ADC">
        <w:rPr>
          <w:rFonts w:ascii="Arial" w:hAnsi="Arial" w:cs="Arial"/>
          <w:b/>
          <w:spacing w:val="5"/>
          <w:w w:val="109"/>
        </w:rPr>
        <w:t xml:space="preserve"> </w:t>
      </w:r>
      <w:r w:rsidRPr="00A24ADC">
        <w:rPr>
          <w:rFonts w:ascii="Arial" w:hAnsi="Arial" w:cs="Arial"/>
          <w:b/>
        </w:rPr>
        <w:t>do</w:t>
      </w:r>
      <w:r w:rsidRPr="00A24ADC">
        <w:rPr>
          <w:rFonts w:ascii="Arial" w:hAnsi="Arial" w:cs="Arial"/>
          <w:b/>
          <w:spacing w:val="47"/>
        </w:rPr>
        <w:t xml:space="preserve"> </w:t>
      </w:r>
      <w:r w:rsidRPr="00A24ADC">
        <w:rPr>
          <w:rFonts w:ascii="Arial" w:hAnsi="Arial" w:cs="Arial"/>
          <w:b/>
          <w:w w:val="114"/>
        </w:rPr>
        <w:t>tratamento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Todos os casos positivos de tracoma inﬂamatório (TF/TI) devem ser examinados aos 6 e aos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12 meses após o início do tratamento</w:t>
      </w:r>
      <w:r w:rsidRPr="00A24ADC">
        <w:rPr>
          <w:rFonts w:ascii="Arial" w:hAnsi="Arial" w:cs="Arial"/>
          <w:w w:val="91"/>
        </w:rPr>
        <w:t>.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  <w:b/>
          <w:w w:val="116"/>
        </w:rPr>
      </w:pPr>
      <w:r w:rsidRPr="00A24ADC">
        <w:rPr>
          <w:rFonts w:ascii="Arial" w:hAnsi="Arial" w:cs="Arial"/>
          <w:b/>
          <w:w w:val="116"/>
        </w:rPr>
        <w:t>Critérios de alta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A alta clínica do caso ativo ocorre quando transcorridos 6 meses após o início do tratamen- to, quando não se evidenciam sinais clínicos do tracoma inﬂamatório (TF/TI).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A alta curado sem cicatrizes ocorre quando, após 12 meses de início do tratamento, não se evidenciam sinais clínicos do tracoma inﬂamatório – TF/TI , nem estão presentes as formas cicatriciais do tracoma.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O critério para encerramento do caso é o da alta curado sem cicatrizes, situação em que o caso sai do sistema de informação.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Indivíduos que apresentam formas clínicas sequelares – TS, TT e/ou CO sempre serão ca- sos positivos de tracoma sequelar e permanecem em registro no sistema de informação.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A24ADC">
        <w:rPr>
          <w:rFonts w:ascii="Arial" w:hAnsi="Arial" w:cs="Arial"/>
          <w:b/>
          <w:w w:val="107"/>
        </w:rPr>
        <w:t>Vigilância</w:t>
      </w:r>
      <w:r w:rsidRPr="00A24ADC">
        <w:rPr>
          <w:rFonts w:ascii="Arial" w:hAnsi="Arial" w:cs="Arial"/>
          <w:b/>
          <w:spacing w:val="7"/>
          <w:w w:val="107"/>
        </w:rPr>
        <w:t xml:space="preserve"> </w:t>
      </w:r>
      <w:r w:rsidRPr="00A24ADC">
        <w:rPr>
          <w:rFonts w:ascii="Arial" w:hAnsi="Arial" w:cs="Arial"/>
          <w:b/>
          <w:w w:val="115"/>
        </w:rPr>
        <w:t>epidemiológica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B25D86" w:rsidRPr="00A24ADC" w:rsidRDefault="00B25D86" w:rsidP="00B25D86">
      <w:pPr>
        <w:jc w:val="both"/>
        <w:rPr>
          <w:rFonts w:ascii="Arial" w:hAnsi="Arial" w:cs="Arial"/>
        </w:rPr>
      </w:pPr>
      <w:r w:rsidRPr="00A24ADC">
        <w:rPr>
          <w:rFonts w:ascii="Arial" w:hAnsi="Arial" w:cs="Arial"/>
          <w:b/>
          <w:w w:val="109"/>
        </w:rPr>
        <w:t>Objetivos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Controlar a ocorrência de tracoma, mediante a realização regular de busca ativa de casos e visita domiciliar dos contatos.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Acompanhar os focos da doença, para veriﬁcar a tendência de expansão da infecção.</w:t>
      </w:r>
    </w:p>
    <w:p w:rsidR="00B25D86" w:rsidRPr="00B25D86" w:rsidRDefault="00B25D86" w:rsidP="00B25D86">
      <w:pPr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</w:pPr>
      <w:r w:rsidRPr="00B25D86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• Realizar o diagnóstico e tratar os casos com infecção ativa, adotando medidas de controle pertinentes.</w:t>
      </w:r>
    </w:p>
    <w:p w:rsidR="00B25D86" w:rsidRPr="00A24ADC" w:rsidRDefault="00B25D86" w:rsidP="00B25D86">
      <w:pPr>
        <w:jc w:val="both"/>
        <w:rPr>
          <w:rFonts w:ascii="Arial" w:hAnsi="Arial" w:cs="Arial"/>
        </w:rPr>
      </w:pPr>
    </w:p>
    <w:p w:rsidR="00531173" w:rsidRPr="00BA7123" w:rsidRDefault="00531173" w:rsidP="00BA7123">
      <w:pPr>
        <w:spacing w:after="150" w:line="240" w:lineRule="auto"/>
        <w:ind w:left="15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524D55" w:rsidRPr="00BA7123" w:rsidRDefault="00524D55" w:rsidP="00BA7123">
      <w:pPr>
        <w:spacing w:after="150" w:line="240" w:lineRule="auto"/>
        <w:ind w:left="15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A712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:rsidR="002A6F41" w:rsidRDefault="002A6F41" w:rsidP="00BA7123">
      <w:pPr>
        <w:spacing w:after="150" w:line="240" w:lineRule="auto"/>
        <w:ind w:left="15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2A6F41" w:rsidRDefault="002A6F41" w:rsidP="00BA7123">
      <w:pPr>
        <w:spacing w:after="150" w:line="240" w:lineRule="auto"/>
        <w:ind w:left="15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2A6F41" w:rsidRDefault="00B25D86" w:rsidP="00B25D86">
      <w:pPr>
        <w:spacing w:after="0" w:line="240" w:lineRule="auto"/>
        <w:ind w:left="150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ELIESTE </w:t>
      </w:r>
      <w:r w:rsidR="00464480" w:rsidRPr="00464480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S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FALSIN</w:t>
      </w:r>
    </w:p>
    <w:p w:rsidR="00464480" w:rsidRDefault="00B25D86" w:rsidP="00B25D86">
      <w:pPr>
        <w:spacing w:after="0" w:line="240" w:lineRule="auto"/>
        <w:ind w:left="150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>Coordenadora</w:t>
      </w:r>
      <w:r w:rsidR="00464480"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 Estadual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  <w:t xml:space="preserve"> do Tracoma</w:t>
      </w:r>
    </w:p>
    <w:p w:rsidR="00B25D86" w:rsidRDefault="00B25D86" w:rsidP="00B25D86">
      <w:pPr>
        <w:spacing w:after="0" w:line="240" w:lineRule="auto"/>
        <w:ind w:left="150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:rsidR="00B25D86" w:rsidRDefault="00B25D86" w:rsidP="00B25D86">
      <w:pPr>
        <w:spacing w:after="0" w:line="240" w:lineRule="auto"/>
        <w:ind w:left="150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pt-BR"/>
        </w:rPr>
      </w:pPr>
    </w:p>
    <w:p w:rsidR="002A6F41" w:rsidRPr="004B4FAE" w:rsidRDefault="002A6F41" w:rsidP="002A6F41">
      <w:pPr>
        <w:pStyle w:val="Rodap"/>
        <w:ind w:right="360"/>
        <w:jc w:val="center"/>
        <w:rPr>
          <w:rFonts w:ascii="Verdana" w:hAnsi="Verdana"/>
          <w:sz w:val="16"/>
          <w:szCs w:val="16"/>
        </w:rPr>
      </w:pPr>
      <w:r w:rsidRPr="004B4FAE">
        <w:rPr>
          <w:rFonts w:ascii="Verdana" w:hAnsi="Verdana"/>
          <w:sz w:val="16"/>
          <w:szCs w:val="16"/>
        </w:rPr>
        <w:t>Av. Marec</w:t>
      </w:r>
      <w:r>
        <w:rPr>
          <w:rFonts w:ascii="Verdana" w:hAnsi="Verdana"/>
          <w:sz w:val="16"/>
          <w:szCs w:val="16"/>
        </w:rPr>
        <w:t>hal Mascarenhas de Moraes, 2025</w:t>
      </w:r>
      <w:r w:rsidRPr="004B4FAE">
        <w:rPr>
          <w:rFonts w:ascii="Verdana" w:hAnsi="Verdana"/>
          <w:sz w:val="16"/>
          <w:szCs w:val="16"/>
        </w:rPr>
        <w:t>–Bento Ferreira</w:t>
      </w:r>
      <w:r>
        <w:rPr>
          <w:rFonts w:ascii="Verdana" w:hAnsi="Verdana"/>
          <w:sz w:val="16"/>
          <w:szCs w:val="16"/>
        </w:rPr>
        <w:t>,</w:t>
      </w:r>
      <w:r w:rsidRPr="004B4FAE">
        <w:rPr>
          <w:rFonts w:ascii="Verdana" w:hAnsi="Verdana"/>
          <w:sz w:val="16"/>
          <w:szCs w:val="16"/>
        </w:rPr>
        <w:t xml:space="preserve"> Vitória</w:t>
      </w:r>
      <w:r>
        <w:rPr>
          <w:rFonts w:ascii="Verdana" w:hAnsi="Verdana"/>
          <w:sz w:val="16"/>
          <w:szCs w:val="16"/>
        </w:rPr>
        <w:t>/</w:t>
      </w:r>
      <w:r w:rsidRPr="004B4FAE">
        <w:rPr>
          <w:rFonts w:ascii="Verdana" w:hAnsi="Verdana"/>
          <w:sz w:val="16"/>
          <w:szCs w:val="16"/>
        </w:rPr>
        <w:t>ES–CEP 29.050-625</w:t>
      </w:r>
    </w:p>
    <w:p w:rsidR="002A6F41" w:rsidRPr="004B4FAE" w:rsidRDefault="002A6F41" w:rsidP="002A6F41">
      <w:pPr>
        <w:pStyle w:val="Rodap"/>
        <w:jc w:val="center"/>
        <w:rPr>
          <w:rFonts w:ascii="Verdana" w:hAnsi="Verdana"/>
          <w:sz w:val="16"/>
          <w:szCs w:val="16"/>
        </w:rPr>
      </w:pPr>
      <w:r w:rsidRPr="004B4FAE">
        <w:rPr>
          <w:rFonts w:ascii="Verdana" w:hAnsi="Verdana"/>
          <w:sz w:val="16"/>
          <w:szCs w:val="16"/>
        </w:rPr>
        <w:t xml:space="preserve">Núcleo Especial de Vigilância </w:t>
      </w:r>
      <w:r>
        <w:rPr>
          <w:rFonts w:ascii="Verdana" w:hAnsi="Verdana"/>
          <w:sz w:val="16"/>
          <w:szCs w:val="16"/>
        </w:rPr>
        <w:t xml:space="preserve">Epidemiológica </w:t>
      </w:r>
      <w:r w:rsidR="00B25D86">
        <w:rPr>
          <w:rFonts w:ascii="Verdana" w:hAnsi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 xml:space="preserve"> NEVE</w:t>
      </w:r>
      <w:r w:rsidR="00B25D86">
        <w:rPr>
          <w:rFonts w:ascii="Verdana" w:hAnsi="Verdana"/>
          <w:sz w:val="16"/>
          <w:szCs w:val="16"/>
        </w:rPr>
        <w:t>/TRACOMA</w:t>
      </w:r>
    </w:p>
    <w:p w:rsidR="00B25D86" w:rsidRDefault="002A6F41" w:rsidP="002A6F41">
      <w:pPr>
        <w:pStyle w:val="Rodap"/>
        <w:jc w:val="center"/>
        <w:rPr>
          <w:rFonts w:ascii="Verdana" w:hAnsi="Verdana"/>
          <w:sz w:val="16"/>
          <w:szCs w:val="16"/>
        </w:rPr>
      </w:pPr>
      <w:r w:rsidRPr="004B4FAE">
        <w:rPr>
          <w:rFonts w:ascii="Verdana" w:hAnsi="Verdana"/>
          <w:sz w:val="16"/>
          <w:szCs w:val="16"/>
        </w:rPr>
        <w:t xml:space="preserve">Telefones: (27) </w:t>
      </w:r>
      <w:r w:rsidR="00B25D86">
        <w:rPr>
          <w:rFonts w:ascii="Verdana" w:hAnsi="Verdana"/>
          <w:sz w:val="16"/>
          <w:szCs w:val="16"/>
        </w:rPr>
        <w:t>36368220</w:t>
      </w:r>
      <w:r w:rsidRPr="004B4FAE">
        <w:rPr>
          <w:rFonts w:ascii="Verdana" w:hAnsi="Verdana"/>
          <w:sz w:val="16"/>
          <w:szCs w:val="16"/>
        </w:rPr>
        <w:t xml:space="preserve"> / Fax: (27) </w:t>
      </w:r>
      <w:r w:rsidR="00B25D86">
        <w:rPr>
          <w:rFonts w:ascii="Verdana" w:hAnsi="Verdana"/>
          <w:sz w:val="16"/>
          <w:szCs w:val="16"/>
        </w:rPr>
        <w:t xml:space="preserve">36368210 </w:t>
      </w:r>
    </w:p>
    <w:p w:rsidR="002A6F41" w:rsidRPr="004B4FAE" w:rsidRDefault="002A6F41" w:rsidP="002A6F41">
      <w:pPr>
        <w:pStyle w:val="Rodap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</w:t>
      </w:r>
      <w:r w:rsidRPr="004B4FAE">
        <w:rPr>
          <w:rFonts w:ascii="Verdana" w:hAnsi="Verdana"/>
          <w:sz w:val="16"/>
          <w:szCs w:val="16"/>
        </w:rPr>
        <w:t xml:space="preserve">-mail: </w:t>
      </w:r>
      <w:r w:rsidR="00B25D86">
        <w:rPr>
          <w:rFonts w:ascii="Verdana" w:hAnsi="Verdana"/>
          <w:sz w:val="16"/>
          <w:szCs w:val="16"/>
        </w:rPr>
        <w:t>tracomaes@gmail.com</w:t>
      </w:r>
    </w:p>
    <w:p w:rsidR="002A6F41" w:rsidRDefault="002A6F41" w:rsidP="002A6F41"/>
    <w:sectPr w:rsidR="002A6F41" w:rsidSect="00BA7123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B19" w:rsidRDefault="00822B19" w:rsidP="00531173">
      <w:pPr>
        <w:spacing w:after="0" w:line="240" w:lineRule="auto"/>
      </w:pPr>
      <w:r>
        <w:separator/>
      </w:r>
    </w:p>
  </w:endnote>
  <w:endnote w:type="continuationSeparator" w:id="1">
    <w:p w:rsidR="00822B19" w:rsidRDefault="00822B19" w:rsidP="0053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B19" w:rsidRDefault="00822B19" w:rsidP="00531173">
      <w:pPr>
        <w:spacing w:after="0" w:line="240" w:lineRule="auto"/>
      </w:pPr>
      <w:r>
        <w:separator/>
      </w:r>
    </w:p>
  </w:footnote>
  <w:footnote w:type="continuationSeparator" w:id="1">
    <w:p w:rsidR="00822B19" w:rsidRDefault="00822B19" w:rsidP="0053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AD0"/>
    <w:multiLevelType w:val="hybridMultilevel"/>
    <w:tmpl w:val="18E8F35A"/>
    <w:lvl w:ilvl="0" w:tplc="4906D740">
      <w:start w:val="1"/>
      <w:numFmt w:val="decimal"/>
      <w:lvlText w:val="%1-"/>
      <w:lvlJc w:val="left"/>
      <w:pPr>
        <w:ind w:left="81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33FE6427"/>
    <w:multiLevelType w:val="multilevel"/>
    <w:tmpl w:val="10A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D55"/>
    <w:rsid w:val="000064C1"/>
    <w:rsid w:val="00067AB4"/>
    <w:rsid w:val="000D7BA6"/>
    <w:rsid w:val="001A3220"/>
    <w:rsid w:val="001A6BFE"/>
    <w:rsid w:val="001D23F4"/>
    <w:rsid w:val="001E1C4A"/>
    <w:rsid w:val="001F431A"/>
    <w:rsid w:val="001F4966"/>
    <w:rsid w:val="00207614"/>
    <w:rsid w:val="002A6F41"/>
    <w:rsid w:val="00346E67"/>
    <w:rsid w:val="003A0120"/>
    <w:rsid w:val="003F1AD2"/>
    <w:rsid w:val="003F2B34"/>
    <w:rsid w:val="004117E5"/>
    <w:rsid w:val="00464480"/>
    <w:rsid w:val="00466ECC"/>
    <w:rsid w:val="004753DC"/>
    <w:rsid w:val="00524D55"/>
    <w:rsid w:val="00531173"/>
    <w:rsid w:val="005338C8"/>
    <w:rsid w:val="005B5A8D"/>
    <w:rsid w:val="006242F8"/>
    <w:rsid w:val="006D6DD6"/>
    <w:rsid w:val="00721B74"/>
    <w:rsid w:val="00771FA5"/>
    <w:rsid w:val="00795AEC"/>
    <w:rsid w:val="007B5C5F"/>
    <w:rsid w:val="007C6766"/>
    <w:rsid w:val="00822B19"/>
    <w:rsid w:val="008777D6"/>
    <w:rsid w:val="00896F00"/>
    <w:rsid w:val="008A693F"/>
    <w:rsid w:val="008C4275"/>
    <w:rsid w:val="008F1644"/>
    <w:rsid w:val="00910F83"/>
    <w:rsid w:val="009726BA"/>
    <w:rsid w:val="009A0524"/>
    <w:rsid w:val="009F4F23"/>
    <w:rsid w:val="00A474EC"/>
    <w:rsid w:val="00A50116"/>
    <w:rsid w:val="00A55827"/>
    <w:rsid w:val="00A96C1A"/>
    <w:rsid w:val="00AA26AE"/>
    <w:rsid w:val="00B14D72"/>
    <w:rsid w:val="00B25D86"/>
    <w:rsid w:val="00B84EBE"/>
    <w:rsid w:val="00BA7123"/>
    <w:rsid w:val="00BC6509"/>
    <w:rsid w:val="00C654E4"/>
    <w:rsid w:val="00C77CE0"/>
    <w:rsid w:val="00D90A06"/>
    <w:rsid w:val="00DA060E"/>
    <w:rsid w:val="00DA50B8"/>
    <w:rsid w:val="00DB581D"/>
    <w:rsid w:val="00E40C31"/>
    <w:rsid w:val="00E5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27"/>
  </w:style>
  <w:style w:type="paragraph" w:styleId="Ttulo1">
    <w:name w:val="heading 1"/>
    <w:basedOn w:val="Normal"/>
    <w:next w:val="Normal"/>
    <w:link w:val="Ttulo1Char"/>
    <w:uiPriority w:val="9"/>
    <w:qFormat/>
    <w:rsid w:val="00B25D86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link w:val="Ttulo2Char"/>
    <w:uiPriority w:val="9"/>
    <w:qFormat/>
    <w:rsid w:val="0052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D86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D8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D8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B25D8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D8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D8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D8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4D5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24D5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24D55"/>
  </w:style>
  <w:style w:type="paragraph" w:styleId="NormalWeb">
    <w:name w:val="Normal (Web)"/>
    <w:basedOn w:val="Normal"/>
    <w:uiPriority w:val="99"/>
    <w:semiHidden/>
    <w:unhideWhenUsed/>
    <w:rsid w:val="0052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4D55"/>
    <w:rPr>
      <w:b/>
      <w:bCs/>
    </w:rPr>
  </w:style>
  <w:style w:type="paragraph" w:customStyle="1" w:styleId="estilo1">
    <w:name w:val="estilo1"/>
    <w:basedOn w:val="Normal"/>
    <w:rsid w:val="0052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24D55"/>
    <w:rPr>
      <w:i/>
      <w:iCs/>
    </w:rPr>
  </w:style>
  <w:style w:type="paragraph" w:customStyle="1" w:styleId="Default">
    <w:name w:val="Default"/>
    <w:rsid w:val="00466E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66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6B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95A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95A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31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1173"/>
  </w:style>
  <w:style w:type="character" w:customStyle="1" w:styleId="Ttulo1Char">
    <w:name w:val="Título 1 Char"/>
    <w:basedOn w:val="Fontepargpadro"/>
    <w:link w:val="Ttulo1"/>
    <w:uiPriority w:val="9"/>
    <w:rsid w:val="00B25D8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5D8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5D8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D8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B25D8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D8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D8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D8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14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49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2745</Words>
  <Characters>14829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maxwellfreitas</dc:creator>
  <cp:lastModifiedBy>elietesfalsin</cp:lastModifiedBy>
  <cp:revision>2</cp:revision>
  <dcterms:created xsi:type="dcterms:W3CDTF">2015-07-31T11:32:00Z</dcterms:created>
  <dcterms:modified xsi:type="dcterms:W3CDTF">2015-07-31T11:32:00Z</dcterms:modified>
</cp:coreProperties>
</file>